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0"/>
        </w:rPr>
        <w:t>Waterborne Disease Outbreak Risk Prediction and Spatial Surveillance System Using Machine Learning and GIS</w:t>
      </w:r>
    </w:p>
    <w:tbl>
      <w:tblPr>
        <w:tblW w:type="auto" w:w="0"/>
        <w:jc w:val="center"/>
        <w:tblLook w:firstColumn="1" w:firstRow="1" w:lastColumn="0" w:lastRow="0" w:noHBand="0" w:noVBand="1" w:val="04A0"/>
      </w:tblPr>
      <w:tblGrid>
        <w:gridCol w:w="3370"/>
        <w:gridCol w:w="3370"/>
        <w:gridCol w:w="3370"/>
      </w:tblGrid>
      <w:tr>
        <w:tc>
          <w:tcPr>
            <w:tcW w:type="dxa" w:w="3370"/>
          </w:tcPr>
          <w:p>
            <w:pPr>
              <w:spacing w:line="240" w:lineRule="auto" w:after="40"/>
              <w:jc w:val="center"/>
            </w:pPr>
            <w:r>
              <w:rPr>
                <w:b/>
                <w:sz w:val="20"/>
              </w:rPr>
              <w:t>K Sriram</w:t>
              <w:br/>
            </w:r>
            <w:r>
              <w:rPr>
                <w:sz w:val="17"/>
              </w:rPr>
              <w:t>B-Tech, Computer Engineering</w:t>
              <w:br/>
              <w:t>Presidency University</w:t>
              <w:br/>
              <w:t>Bengaluru, India</w:t>
              <w:br/>
            </w:r>
            <w:r>
              <w:rPr>
                <w:i/>
                <w:sz w:val="16"/>
              </w:rPr>
              <w:t>20231COM0002@presidencyuniversity.in</w:t>
            </w:r>
          </w:p>
        </w:tc>
        <w:tc>
          <w:tcPr>
            <w:tcW w:type="dxa" w:w="3370"/>
          </w:tcPr>
          <w:p>
            <w:pPr>
              <w:spacing w:line="240" w:lineRule="auto" w:after="40"/>
              <w:jc w:val="center"/>
            </w:pPr>
            <w:r>
              <w:rPr>
                <w:b/>
                <w:sz w:val="20"/>
              </w:rPr>
              <w:t>Hemraj N A</w:t>
              <w:br/>
            </w:r>
            <w:r>
              <w:rPr>
                <w:sz w:val="17"/>
              </w:rPr>
              <w:t>B-Tech, Computer Engineering</w:t>
              <w:br/>
              <w:t>Presidency University</w:t>
              <w:br/>
              <w:t>Bengaluru, India</w:t>
              <w:br/>
            </w:r>
            <w:r>
              <w:rPr>
                <w:i/>
                <w:sz w:val="16"/>
              </w:rPr>
              <w:t>20231COM0055@presidencyuniversity.in</w:t>
            </w:r>
          </w:p>
        </w:tc>
        <w:tc>
          <w:tcPr>
            <w:tcW w:type="dxa" w:w="3370"/>
          </w:tcPr>
          <w:p>
            <w:pPr>
              <w:spacing w:line="240" w:lineRule="auto" w:after="40"/>
              <w:jc w:val="center"/>
            </w:pPr>
            <w:r>
              <w:rPr>
                <w:b/>
                <w:sz w:val="20"/>
              </w:rPr>
              <w:t>Nagbhooshan</w:t>
              <w:br/>
            </w:r>
            <w:r>
              <w:rPr>
                <w:sz w:val="17"/>
              </w:rPr>
              <w:t>B-Tech, Computer Engineering</w:t>
              <w:br/>
              <w:t>Presidency University</w:t>
              <w:br/>
              <w:t>Bengaluru, India</w:t>
              <w:br/>
            </w:r>
            <w:r>
              <w:rPr>
                <w:i/>
                <w:sz w:val="16"/>
              </w:rPr>
              <w:t>20231COM0029@presidencyuniversity.in</w:t>
            </w:r>
          </w:p>
        </w:tc>
      </w:tr>
    </w:tbl>
    <w:p>
      <w:pPr>
        <w:spacing w:before="160" w:after="280"/>
        <w:jc w:val="center"/>
      </w:pPr>
      <w:r>
        <w:rPr>
          <w:b/>
          <w:sz w:val="20"/>
        </w:rPr>
        <w:t>Mr. Irfan Rajab Bhat</w:t>
        <w:br/>
      </w:r>
      <w:r>
        <w:rPr>
          <w:sz w:val="17"/>
        </w:rPr>
        <w:t>School of Computer Science and Engineering</w:t>
        <w:br/>
        <w:t>Presidency University, Bengaluru, India</w:t>
      </w:r>
    </w:p>
    <w:p>
      <w:pPr>
        <w:sectPr>
          <w:pgSz w:w="11909" w:h="16834"/>
          <w:pgMar w:top="1080" w:right="900" w:bottom="1440" w:left="900" w:header="720" w:footer="720" w:gutter="0"/>
          <w:cols w:space="720" w:num="1"/>
          <w:docGrid w:linePitch="360"/>
        </w:sectPr>
      </w:pPr>
    </w:p>
    <w:p>
      <w:pPr>
        <w:spacing w:line="252" w:lineRule="auto" w:after="80"/>
        <w:jc w:val="both"/>
      </w:pPr>
      <w:r>
        <w:rPr>
          <w:b/>
          <w:sz w:val="19"/>
        </w:rPr>
        <w:t>Abstract—</w:t>
      </w:r>
      <w:r>
        <w:rPr>
          <w:sz w:val="19"/>
        </w:rPr>
        <w:t>The transmission of pathogenic microorganisms through municipal water networks poses severe public health threats, causing over 829,000 diarrheal deaths annually (WHO 2022). Conventional epidemiological surveillance suffers from a 48 to 72-hour laboratory incubation delay. This paper presents an integrated Machine Learning (ML) and Geographic Information System (GIS) early-warning surveillance platform that predicts outbreak risks from rapid physicochemical telemetry. Using 3,276 water observations, robust median imputation resolves 1,434 missing values without data loss. A novel Contamination Risk Index (CRI) and WHO pH deviation metric capture geochemical hazards. Under 5-Fold Stratified Cross-Validation, while linear models fail completely (Logistic Regression achieving 49.27% accuracy and 0.528 ROC-AUC due to all bivariate correlations falling below |r| &lt; 0.07), Random Forest achieves 64.77% ± 1.07% accuracy, 0.672 ROC-AUC, and 76.0% recall on unsafe water on an independent holdout test. Gini importance reveals Sulfate (15.6%), pH (12.2%), and Hardness (11.3%) as primary decision drivers. The model is deployed via an interactive Folium GIS map with Bangalore ward clusters and a 4-tab Streamlit dashboard for real-time triage.</w:t>
      </w:r>
    </w:p>
    <w:p>
      <w:pPr>
        <w:spacing w:line="252" w:lineRule="auto" w:after="80"/>
        <w:jc w:val="both"/>
      </w:pPr>
      <w:r>
        <w:rPr>
          <w:b/>
          <w:sz w:val="19"/>
        </w:rPr>
        <w:t>Index Terms—</w:t>
      </w:r>
      <w:r>
        <w:rPr>
          <w:sz w:val="19"/>
        </w:rPr>
        <w:t>Waterborne disease prediction, machine learning, Random Forest, Geographic Information System (GIS), public health surveillance, spatial epidemiology, early warning system.</w:t>
      </w:r>
    </w:p>
    <w:p>
      <w:pPr>
        <w:spacing w:before="200" w:after="80"/>
        <w:jc w:val="center"/>
      </w:pPr>
      <w:r>
        <w:rPr>
          <w:rFonts w:ascii="Times New Roman" w:hAnsi="Times New Roman"/>
          <w:b/>
          <w:sz w:val="20"/>
        </w:rPr>
        <w:t>I. INTRODUCTION</w:t>
      </w:r>
    </w:p>
    <w:p>
      <w:pPr>
        <w:spacing w:line="252" w:lineRule="auto" w:after="80"/>
        <w:jc w:val="both"/>
      </w:pPr>
      <w:r>
        <w:rPr>
          <w:sz w:val="19"/>
        </w:rPr>
        <w:t>Waterborne infectious diseases, including cholera, typhoid fever, and dysentery, represent persistent public health threats in developing nations. Conventional municipal water surveillance depends on microbiological bacterial culturing (membrane filtration for E. coli), which requires 48 to 72 hours. Consequently, by the time contamination is reported, hundreds of residents have already ingested tainted water, precipitating acute hospital surges [1].</w:t>
      </w:r>
    </w:p>
    <w:p>
      <w:pPr>
        <w:spacing w:line="252" w:lineRule="auto" w:after="80"/>
        <w:jc w:val="both"/>
      </w:pPr>
      <w:r>
        <w:rPr>
          <w:sz w:val="19"/>
        </w:rPr>
        <w:t>Physicochemical telemetry (pH, turbidity, chloramines, dissolved solids, organic carbon) can be captured in real time via in-situ sensors. While chemical sensors do not directly culture bacteria, they provide vital surrogate indicators: turbidity shields pathogens from UV disinfection, depleted chloramines signal biocide failure, and organic carbon fuels microbial proliferation. Supervised machine learning can detect complex multivariate non-linear patterns across these indicators, providing instantaneous early warning and bridging the 48-hour diagnostic gap.</w:t>
      </w:r>
    </w:p>
    <w:p>
      <w:pPr>
        <w:spacing w:before="200" w:after="80"/>
        <w:jc w:val="center"/>
      </w:pPr>
      <w:r>
        <w:rPr>
          <w:rFonts w:ascii="Times New Roman" w:hAnsi="Times New Roman"/>
          <w:b/>
          <w:sz w:val="20"/>
        </w:rPr>
        <w:t>II. RELATED WORK</w:t>
      </w:r>
    </w:p>
    <w:p>
      <w:pPr>
        <w:spacing w:line="252" w:lineRule="auto" w:after="80"/>
        <w:jc w:val="both"/>
      </w:pPr>
      <w:r>
        <w:rPr>
          <w:sz w:val="19"/>
        </w:rPr>
        <w:t>Traditional Water Quality Indices (WQI) rely on rigid linear weighting that fails to model synergistic toxicity, such as acidic pH coupled with elevated sulfates [6]. Recent supervised ML applications on the benchmark Kaggle water potability dataset [2] frequently report deceptive accuracies (&gt;90%) on synthetic variants. However, as shown by Breiman [3] and Pedregosa et al. [4], natural water bodies exhibit low linear correlation, where decision tree ensembles realistically achieve 63%–68% accuracy. Spatial GIS epidemiology has been applied to flood risk mapping [5], but integrating real-time ML inference with interactive ward-level surveillance maps remains unaddressed in municipal systems.</w:t>
      </w:r>
    </w:p>
    <w:p>
      <w:pPr>
        <w:spacing w:before="200" w:after="80"/>
        <w:jc w:val="center"/>
      </w:pPr>
      <w:r>
        <w:rPr>
          <w:rFonts w:ascii="Times New Roman" w:hAnsi="Times New Roman"/>
          <w:b/>
          <w:sz w:val="20"/>
        </w:rPr>
        <w:t>III. PROBLEM STATEMENT AND OBJECTIVES</w:t>
      </w:r>
    </w:p>
    <w:p>
      <w:pPr>
        <w:spacing w:line="252" w:lineRule="auto" w:after="80"/>
        <w:jc w:val="both"/>
      </w:pPr>
      <w:r>
        <w:rPr>
          <w:sz w:val="19"/>
        </w:rPr>
        <w:t>The objective of project PRJ_441 is to build an integrated ML and GIS early-warning platform that: (1) Handles real-world missing data via median imputation with zero row loss; (2) Enriches telemetry with geochemical indicators (CRI); (3) Benchmarks 4 candidate classifiers under 5-Fold Stratified Cross-Validation; (4) Renders interactive multi-layer GIS maps with 3-tier municipal ward risk zones; and (5) Deploys an operational 4-tab Streamlit decision dashboard.</w:t>
      </w:r>
    </w:p>
    <w:p>
      <w:pPr>
        <w:spacing w:before="200" w:after="80"/>
        <w:jc w:val="center"/>
      </w:pPr>
      <w:r>
        <w:rPr>
          <w:rFonts w:ascii="Times New Roman" w:hAnsi="Times New Roman"/>
          <w:b/>
          <w:sz w:val="20"/>
        </w:rPr>
        <w:t>IV. PROPOSED SYSTEM ARCHITECTURE</w:t>
      </w:r>
    </w:p>
    <w:p>
      <w:pPr>
        <w:spacing w:line="252" w:lineRule="auto" w:after="80"/>
        <w:jc w:val="both"/>
      </w:pPr>
      <w:r>
        <w:rPr>
          <w:sz w:val="19"/>
        </w:rPr>
        <w:t>The system follows a 4-layer architecture: (1) Data Ingestion Layer capturing water telemetry; (2) Preprocessing Layer executing median imputation and CRI computation; (3) Analytics Engine executing 200-tree Random Forest inference; and (4) Surveillance Layer rendering Folium GIS maps and Streamlit dashboards.</w:t>
      </w:r>
    </w:p>
    <w:p>
      <w:pPr>
        <w:spacing w:before="120" w:after="40"/>
        <w:jc w:val="center"/>
      </w:pPr>
      <w:r>
        <w:drawing>
          <wp:inline xmlns:a="http://schemas.openxmlformats.org/drawingml/2006/main" xmlns:pic="http://schemas.openxmlformats.org/drawingml/2006/picture">
            <wp:extent cx="3017520" cy="1633337"/>
            <wp:docPr id="1" name="Picture 1"/>
            <wp:cNvGraphicFramePr>
              <a:graphicFrameLocks noChangeAspect="1"/>
            </wp:cNvGraphicFramePr>
            <a:graphic>
              <a:graphicData uri="http://schemas.openxmlformats.org/drawingml/2006/picture">
                <pic:pic>
                  <pic:nvPicPr>
                    <pic:cNvPr id="0" name="arch_diagram.png"/>
                    <pic:cNvPicPr/>
                  </pic:nvPicPr>
                  <pic:blipFill>
                    <a:blip r:embed="rId9"/>
                    <a:stretch>
                      <a:fillRect/>
                    </a:stretch>
                  </pic:blipFill>
                  <pic:spPr>
                    <a:xfrm>
                      <a:off x="0" y="0"/>
                      <a:ext cx="3017520" cy="1633337"/>
                    </a:xfrm>
                    <a:prstGeom prst="rect"/>
                  </pic:spPr>
                </pic:pic>
              </a:graphicData>
            </a:graphic>
          </wp:inline>
        </w:drawing>
      </w:r>
    </w:p>
    <w:p>
      <w:pPr>
        <w:spacing w:before="40" w:after="120"/>
        <w:jc w:val="center"/>
      </w:pPr>
      <w:r>
        <w:rPr>
          <w:i/>
          <w:sz w:val="17"/>
        </w:rPr>
        <w:t>Fig. 1. System architecture of the proposed AI ML &amp; GIS early-warning surveillance system.</w:t>
      </w:r>
    </w:p>
    <w:p>
      <w:pPr>
        <w:spacing w:before="200" w:after="80"/>
        <w:jc w:val="center"/>
      </w:pPr>
      <w:r>
        <w:rPr>
          <w:rFonts w:ascii="Times New Roman" w:hAnsi="Times New Roman"/>
          <w:b/>
          <w:sz w:val="20"/>
        </w:rPr>
        <w:t>V. METHODOLOGY</w:t>
      </w:r>
    </w:p>
    <w:p>
      <w:pPr>
        <w:spacing w:line="252" w:lineRule="auto" w:after="80"/>
        <w:jc w:val="both"/>
      </w:pPr>
      <w:r>
        <w:rPr>
          <w:sz w:val="19"/>
        </w:rPr>
        <w:t>The 3,276-sample Kaggle dataset contains 1,434 NaNs: pH (491), Sulfate (781), and THM (162). Dropping incomplete rows would discard 38.9% of data. Non-parametric median imputation (pH: 7.04, Sulfate: 333.07 mg/L, THM: 66.62 µg/L) preserved all 3,276 records without selection bias.</w:t>
      </w:r>
    </w:p>
    <w:p>
      <w:pPr>
        <w:spacing w:before="120" w:after="40"/>
        <w:jc w:val="center"/>
      </w:pPr>
      <w:r>
        <w:drawing>
          <wp:inline xmlns:a="http://schemas.openxmlformats.org/drawingml/2006/main" xmlns:pic="http://schemas.openxmlformats.org/drawingml/2006/picture">
            <wp:extent cx="3017520" cy="3892163"/>
            <wp:docPr id="2" name="Picture 2"/>
            <wp:cNvGraphicFramePr>
              <a:graphicFrameLocks noChangeAspect="1"/>
            </wp:cNvGraphicFramePr>
            <a:graphic>
              <a:graphicData uri="http://schemas.openxmlformats.org/drawingml/2006/picture">
                <pic:pic>
                  <pic:nvPicPr>
                    <pic:cNvPr id="0" name="preprocessing_workflow.png"/>
                    <pic:cNvPicPr/>
                  </pic:nvPicPr>
                  <pic:blipFill>
                    <a:blip r:embed="rId10"/>
                    <a:stretch>
                      <a:fillRect/>
                    </a:stretch>
                  </pic:blipFill>
                  <pic:spPr>
                    <a:xfrm>
                      <a:off x="0" y="0"/>
                      <a:ext cx="3017520" cy="3892163"/>
                    </a:xfrm>
                    <a:prstGeom prst="rect"/>
                  </pic:spPr>
                </pic:pic>
              </a:graphicData>
            </a:graphic>
          </wp:inline>
        </w:drawing>
      </w:r>
    </w:p>
    <w:p>
      <w:pPr>
        <w:spacing w:before="40" w:after="120"/>
        <w:jc w:val="center"/>
      </w:pPr>
      <w:r>
        <w:rPr>
          <w:i/>
          <w:sz w:val="17"/>
        </w:rPr>
        <w:t>Fig. 2. Data preprocessing and missing value median imputation workflow.</w:t>
      </w:r>
    </w:p>
    <w:p>
      <w:pPr>
        <w:spacing w:line="252" w:lineRule="auto" w:after="80"/>
        <w:jc w:val="both"/>
      </w:pPr>
      <w:r>
        <w:rPr>
          <w:sz w:val="19"/>
        </w:rPr>
        <w:t>Two domain indicators were formulated:</w:t>
        <w:br/>
        <w:t>1. CRI = [ Norm(Turbidity) + Norm(Organic_Carbon) + Norm(THM) ] / 3</w:t>
        <w:br/>
        <w:t>2. pH_Deviation = max(0, 6.5 - pH) + max(0, pH - 8.5)</w:t>
      </w:r>
    </w:p>
    <w:p>
      <w:pPr>
        <w:spacing w:before="120" w:after="40"/>
        <w:jc w:val="center"/>
      </w:pPr>
      <w:r>
        <w:drawing>
          <wp:inline xmlns:a="http://schemas.openxmlformats.org/drawingml/2006/main" xmlns:pic="http://schemas.openxmlformats.org/drawingml/2006/picture">
            <wp:extent cx="3017520" cy="4110824"/>
            <wp:docPr id="3" name="Picture 3"/>
            <wp:cNvGraphicFramePr>
              <a:graphicFrameLocks noChangeAspect="1"/>
            </wp:cNvGraphicFramePr>
            <a:graphic>
              <a:graphicData uri="http://schemas.openxmlformats.org/drawingml/2006/picture">
                <pic:pic>
                  <pic:nvPicPr>
                    <pic:cNvPr id="0" name="system_workflow.png"/>
                    <pic:cNvPicPr/>
                  </pic:nvPicPr>
                  <pic:blipFill>
                    <a:blip r:embed="rId11"/>
                    <a:stretch>
                      <a:fillRect/>
                    </a:stretch>
                  </pic:blipFill>
                  <pic:spPr>
                    <a:xfrm>
                      <a:off x="0" y="0"/>
                      <a:ext cx="3017520" cy="4110824"/>
                    </a:xfrm>
                    <a:prstGeom prst="rect"/>
                  </pic:spPr>
                </pic:pic>
              </a:graphicData>
            </a:graphic>
          </wp:inline>
        </w:drawing>
      </w:r>
    </w:p>
    <w:p>
      <w:pPr>
        <w:spacing w:before="40" w:after="120"/>
        <w:jc w:val="center"/>
      </w:pPr>
      <w:r>
        <w:rPr>
          <w:i/>
          <w:sz w:val="17"/>
        </w:rPr>
        <w:t>Fig. 3. End-to-end disease outbreak risk prediction and surveillance workflow.</w:t>
      </w:r>
    </w:p>
    <w:p>
      <w:pPr>
        <w:spacing w:before="200" w:after="80"/>
        <w:jc w:val="center"/>
      </w:pPr>
      <w:r>
        <w:rPr>
          <w:rFonts w:ascii="Times New Roman" w:hAnsi="Times New Roman"/>
          <w:b/>
          <w:sz w:val="20"/>
        </w:rPr>
        <w:t>VI. EXPERIMENTAL RESULTS AND DISCUSSION</w:t>
      </w:r>
    </w:p>
    <w:p>
      <w:pPr>
        <w:spacing w:line="252" w:lineRule="auto" w:after="80"/>
        <w:jc w:val="both"/>
      </w:pPr>
      <w:r>
        <w:rPr>
          <w:sz w:val="19"/>
        </w:rPr>
        <w:t>Table I summarizes 5-Fold Stratified Cross-Validation performance across all candidate classifiers:</w:t>
      </w:r>
    </w:p>
    <w:tbl>
      <w:tblPr>
        <w:tblW w:type="auto" w:w="0"/>
        <w:jc w:val="center"/>
        <w:tblLook w:firstColumn="1" w:firstRow="1" w:lastColumn="0" w:lastRow="0" w:noHBand="0" w:noVBand="1" w:val="04A0"/>
      </w:tblPr>
      <w:tblGrid>
        <w:gridCol w:w="2022"/>
        <w:gridCol w:w="2022"/>
        <w:gridCol w:w="2022"/>
        <w:gridCol w:w="2022"/>
        <w:gridCol w:w="2022"/>
      </w:tblGrid>
      <w:tr>
        <w:tc>
          <w:tcPr>
            <w:tcW w:type="dxa" w:w="2022"/>
          </w:tcPr>
          <w:p>
            <w:pPr>
              <w:spacing w:line="240" w:lineRule="auto" w:after="20"/>
              <w:jc w:val="center"/>
            </w:pPr>
            <w:r>
              <w:rPr>
                <w:b/>
                <w:sz w:val="16"/>
              </w:rPr>
              <w:t>Candidate Model</w:t>
            </w:r>
          </w:p>
        </w:tc>
        <w:tc>
          <w:tcPr>
            <w:tcW w:type="dxa" w:w="2022"/>
          </w:tcPr>
          <w:p>
            <w:pPr>
              <w:spacing w:line="240" w:lineRule="auto" w:after="20"/>
              <w:jc w:val="center"/>
            </w:pPr>
            <w:r>
              <w:rPr>
                <w:b/>
                <w:sz w:val="16"/>
              </w:rPr>
              <w:t>Accuracy</w:t>
            </w:r>
          </w:p>
        </w:tc>
        <w:tc>
          <w:tcPr>
            <w:tcW w:type="dxa" w:w="2022"/>
          </w:tcPr>
          <w:p>
            <w:pPr>
              <w:spacing w:line="240" w:lineRule="auto" w:after="20"/>
              <w:jc w:val="center"/>
            </w:pPr>
            <w:r>
              <w:rPr>
                <w:b/>
                <w:sz w:val="16"/>
              </w:rPr>
              <w:t>F1-Score</w:t>
            </w:r>
          </w:p>
        </w:tc>
        <w:tc>
          <w:tcPr>
            <w:tcW w:type="dxa" w:w="2022"/>
          </w:tcPr>
          <w:p>
            <w:pPr>
              <w:spacing w:line="240" w:lineRule="auto" w:after="20"/>
              <w:jc w:val="center"/>
            </w:pPr>
            <w:r>
              <w:rPr>
                <w:b/>
                <w:sz w:val="16"/>
              </w:rPr>
              <w:t>Recall</w:t>
            </w:r>
          </w:p>
        </w:tc>
        <w:tc>
          <w:tcPr>
            <w:tcW w:type="dxa" w:w="2022"/>
          </w:tcPr>
          <w:p>
            <w:pPr>
              <w:spacing w:line="240" w:lineRule="auto" w:after="20"/>
              <w:jc w:val="center"/>
            </w:pPr>
            <w:r>
              <w:rPr>
                <w:b/>
                <w:sz w:val="16"/>
              </w:rPr>
              <w:t>ROC-AUC</w:t>
            </w:r>
          </w:p>
        </w:tc>
      </w:tr>
      <w:tr>
        <w:tc>
          <w:tcPr>
            <w:tcW w:type="dxa" w:w="2022"/>
          </w:tcPr>
          <w:p>
            <w:pPr>
              <w:spacing w:line="240" w:lineRule="auto" w:after="20"/>
              <w:jc w:val="center"/>
            </w:pPr>
            <w:r>
              <w:rPr>
                <w:sz w:val="16"/>
              </w:rPr>
              <w:t>Gradient Boosting</w:t>
            </w:r>
          </w:p>
        </w:tc>
        <w:tc>
          <w:tcPr>
            <w:tcW w:type="dxa" w:w="2022"/>
          </w:tcPr>
          <w:p>
            <w:pPr>
              <w:spacing w:line="240" w:lineRule="auto" w:after="20"/>
              <w:jc w:val="center"/>
            </w:pPr>
            <w:r>
              <w:rPr>
                <w:sz w:val="16"/>
              </w:rPr>
              <w:t>65.45% ± 0.96%</w:t>
            </w:r>
          </w:p>
        </w:tc>
        <w:tc>
          <w:tcPr>
            <w:tcW w:type="dxa" w:w="2022"/>
          </w:tcPr>
          <w:p>
            <w:pPr>
              <w:spacing w:line="240" w:lineRule="auto" w:after="20"/>
              <w:jc w:val="center"/>
            </w:pPr>
            <w:r>
              <w:rPr>
                <w:sz w:val="16"/>
              </w:rPr>
              <w:t>44.89%</w:t>
            </w:r>
          </w:p>
        </w:tc>
        <w:tc>
          <w:tcPr>
            <w:tcW w:type="dxa" w:w="2022"/>
          </w:tcPr>
          <w:p>
            <w:pPr>
              <w:spacing w:line="240" w:lineRule="auto" w:after="20"/>
              <w:jc w:val="center"/>
            </w:pPr>
            <w:r>
              <w:rPr>
                <w:sz w:val="16"/>
              </w:rPr>
              <w:t>35.84%</w:t>
            </w:r>
          </w:p>
        </w:tc>
        <w:tc>
          <w:tcPr>
            <w:tcW w:type="dxa" w:w="2022"/>
          </w:tcPr>
          <w:p>
            <w:pPr>
              <w:spacing w:line="240" w:lineRule="auto" w:after="20"/>
              <w:jc w:val="center"/>
            </w:pPr>
            <w:r>
              <w:rPr>
                <w:sz w:val="16"/>
              </w:rPr>
              <w:t>0.650</w:t>
            </w:r>
          </w:p>
        </w:tc>
      </w:tr>
      <w:tr>
        <w:tc>
          <w:tcPr>
            <w:tcW w:type="dxa" w:w="2022"/>
          </w:tcPr>
          <w:p>
            <w:pPr>
              <w:spacing w:line="240" w:lineRule="auto" w:after="20"/>
              <w:jc w:val="center"/>
            </w:pPr>
            <w:r>
              <w:rPr>
                <w:b/>
                <w:sz w:val="16"/>
              </w:rPr>
              <w:t>Random Forest (200 Trees)</w:t>
            </w:r>
          </w:p>
        </w:tc>
        <w:tc>
          <w:tcPr>
            <w:tcW w:type="dxa" w:w="2022"/>
          </w:tcPr>
          <w:p>
            <w:pPr>
              <w:spacing w:line="240" w:lineRule="auto" w:after="20"/>
              <w:jc w:val="center"/>
            </w:pPr>
            <w:r>
              <w:rPr>
                <w:b/>
                <w:sz w:val="16"/>
              </w:rPr>
              <w:t>64.77% ± 1.07%</w:t>
            </w:r>
          </w:p>
        </w:tc>
        <w:tc>
          <w:tcPr>
            <w:tcW w:type="dxa" w:w="2022"/>
          </w:tcPr>
          <w:p>
            <w:pPr>
              <w:spacing w:line="240" w:lineRule="auto" w:after="20"/>
              <w:jc w:val="center"/>
            </w:pPr>
            <w:r>
              <w:rPr>
                <w:b/>
                <w:sz w:val="16"/>
              </w:rPr>
              <w:t>51.62%</w:t>
            </w:r>
          </w:p>
        </w:tc>
        <w:tc>
          <w:tcPr>
            <w:tcW w:type="dxa" w:w="2022"/>
          </w:tcPr>
          <w:p>
            <w:pPr>
              <w:spacing w:line="240" w:lineRule="auto" w:after="20"/>
              <w:jc w:val="center"/>
            </w:pPr>
            <w:r>
              <w:rPr>
                <w:b/>
                <w:sz w:val="16"/>
              </w:rPr>
              <w:t>47.65%</w:t>
            </w:r>
          </w:p>
        </w:tc>
        <w:tc>
          <w:tcPr>
            <w:tcW w:type="dxa" w:w="2022"/>
          </w:tcPr>
          <w:p>
            <w:pPr>
              <w:spacing w:line="240" w:lineRule="auto" w:after="20"/>
              <w:jc w:val="center"/>
            </w:pPr>
            <w:r>
              <w:rPr>
                <w:b/>
                <w:sz w:val="16"/>
              </w:rPr>
              <w:t>0.672</w:t>
            </w:r>
          </w:p>
        </w:tc>
      </w:tr>
      <w:tr>
        <w:tc>
          <w:tcPr>
            <w:tcW w:type="dxa" w:w="2022"/>
          </w:tcPr>
          <w:p>
            <w:pPr>
              <w:spacing w:line="240" w:lineRule="auto" w:after="20"/>
              <w:jc w:val="center"/>
            </w:pPr>
            <w:r>
              <w:rPr>
                <w:sz w:val="16"/>
              </w:rPr>
              <w:t>Extra Trees</w:t>
            </w:r>
          </w:p>
        </w:tc>
        <w:tc>
          <w:tcPr>
            <w:tcW w:type="dxa" w:w="2022"/>
          </w:tcPr>
          <w:p>
            <w:pPr>
              <w:spacing w:line="240" w:lineRule="auto" w:after="20"/>
              <w:jc w:val="center"/>
            </w:pPr>
            <w:r>
              <w:rPr>
                <w:sz w:val="16"/>
              </w:rPr>
              <w:t>63.80% ± 1.19%</w:t>
            </w:r>
          </w:p>
        </w:tc>
        <w:tc>
          <w:tcPr>
            <w:tcW w:type="dxa" w:w="2022"/>
          </w:tcPr>
          <w:p>
            <w:pPr>
              <w:spacing w:line="240" w:lineRule="auto" w:after="20"/>
              <w:jc w:val="center"/>
            </w:pPr>
            <w:r>
              <w:rPr>
                <w:sz w:val="16"/>
              </w:rPr>
              <w:t>47.98%</w:t>
            </w:r>
          </w:p>
        </w:tc>
        <w:tc>
          <w:tcPr>
            <w:tcW w:type="dxa" w:w="2022"/>
          </w:tcPr>
          <w:p>
            <w:pPr>
              <w:spacing w:line="240" w:lineRule="auto" w:after="20"/>
              <w:jc w:val="center"/>
            </w:pPr>
            <w:r>
              <w:rPr>
                <w:sz w:val="16"/>
              </w:rPr>
              <w:t>42.41%</w:t>
            </w:r>
          </w:p>
        </w:tc>
        <w:tc>
          <w:tcPr>
            <w:tcW w:type="dxa" w:w="2022"/>
          </w:tcPr>
          <w:p>
            <w:pPr>
              <w:spacing w:line="240" w:lineRule="auto" w:after="20"/>
              <w:jc w:val="center"/>
            </w:pPr>
            <w:r>
              <w:rPr>
                <w:sz w:val="16"/>
              </w:rPr>
              <w:t>0.663</w:t>
            </w:r>
          </w:p>
        </w:tc>
      </w:tr>
      <w:tr>
        <w:tc>
          <w:tcPr>
            <w:tcW w:type="dxa" w:w="2022"/>
          </w:tcPr>
          <w:p>
            <w:pPr>
              <w:spacing w:line="240" w:lineRule="auto" w:after="20"/>
              <w:jc w:val="center"/>
            </w:pPr>
            <w:r>
              <w:rPr>
                <w:sz w:val="16"/>
              </w:rPr>
              <w:t>Logistic Regression</w:t>
            </w:r>
          </w:p>
        </w:tc>
        <w:tc>
          <w:tcPr>
            <w:tcW w:type="dxa" w:w="2022"/>
          </w:tcPr>
          <w:p>
            <w:pPr>
              <w:spacing w:line="240" w:lineRule="auto" w:after="20"/>
              <w:jc w:val="center"/>
            </w:pPr>
            <w:r>
              <w:rPr>
                <w:sz w:val="16"/>
              </w:rPr>
              <w:t>49.27% ± 1.24%</w:t>
            </w:r>
          </w:p>
        </w:tc>
        <w:tc>
          <w:tcPr>
            <w:tcW w:type="dxa" w:w="2022"/>
          </w:tcPr>
          <w:p>
            <w:pPr>
              <w:spacing w:line="240" w:lineRule="auto" w:after="20"/>
              <w:jc w:val="center"/>
            </w:pPr>
            <w:r>
              <w:rPr>
                <w:sz w:val="16"/>
              </w:rPr>
              <w:t>44.90%</w:t>
            </w:r>
          </w:p>
        </w:tc>
        <w:tc>
          <w:tcPr>
            <w:tcW w:type="dxa" w:w="2022"/>
          </w:tcPr>
          <w:p>
            <w:pPr>
              <w:spacing w:line="240" w:lineRule="auto" w:after="20"/>
              <w:jc w:val="center"/>
            </w:pPr>
            <w:r>
              <w:rPr>
                <w:sz w:val="16"/>
              </w:rPr>
              <w:t>53.68%</w:t>
            </w:r>
          </w:p>
        </w:tc>
        <w:tc>
          <w:tcPr>
            <w:tcW w:type="dxa" w:w="2022"/>
          </w:tcPr>
          <w:p>
            <w:pPr>
              <w:spacing w:line="240" w:lineRule="auto" w:after="20"/>
              <w:jc w:val="center"/>
            </w:pPr>
            <w:r>
              <w:rPr>
                <w:sz w:val="16"/>
              </w:rPr>
              <w:t>0.528</w:t>
            </w:r>
          </w:p>
        </w:tc>
      </w:tr>
    </w:tbl>
    <w:p>
      <w:pPr>
        <w:spacing w:before="40" w:after="120"/>
        <w:jc w:val="center"/>
      </w:pPr>
      <w:r>
        <w:rPr>
          <w:b/>
          <w:sz w:val="16"/>
        </w:rPr>
        <w:t>TABLE I: 5-Fold Stratified Cross-Validation Benchmark Performance Across Classifiers</w:t>
      </w:r>
    </w:p>
    <w:p>
      <w:pPr>
        <w:spacing w:line="252" w:lineRule="auto" w:after="80"/>
        <w:jc w:val="both"/>
      </w:pPr>
      <w:r>
        <w:rPr>
          <w:sz w:val="19"/>
        </w:rPr>
        <w:t>Logistic Regression fails completely (49.27% accuracy, 0.528 ROC-AUC) because all individual feature correlations with Potability fall strictly below |0.07|. Non-linear decision tree ensembles successfully discover complex boundary splits. Random Forest achieves the highest ROC-AUC (0.672) and highest balanced F1-score (51.62%). On a dedicated 80/20 holdout test, Random Forest achieves 76.0% recall on unsafe water (correctly identifying 304 out of 400 contaminated samples).</w:t>
      </w:r>
    </w:p>
    <w:p>
      <w:pPr>
        <w:spacing w:before="120" w:after="40"/>
        <w:jc w:val="center"/>
      </w:pPr>
      <w:r>
        <w:drawing>
          <wp:inline xmlns:a="http://schemas.openxmlformats.org/drawingml/2006/main" xmlns:pic="http://schemas.openxmlformats.org/drawingml/2006/picture">
            <wp:extent cx="3017520" cy="2310289"/>
            <wp:docPr id="4" name="Picture 4"/>
            <wp:cNvGraphicFramePr>
              <a:graphicFrameLocks noChangeAspect="1"/>
            </wp:cNvGraphicFramePr>
            <a:graphic>
              <a:graphicData uri="http://schemas.openxmlformats.org/drawingml/2006/picture">
                <pic:pic>
                  <pic:nvPicPr>
                    <pic:cNvPr id="0" name="roc_curve_comparison.png"/>
                    <pic:cNvPicPr/>
                  </pic:nvPicPr>
                  <pic:blipFill>
                    <a:blip r:embed="rId12"/>
                    <a:stretch>
                      <a:fillRect/>
                    </a:stretch>
                  </pic:blipFill>
                  <pic:spPr>
                    <a:xfrm>
                      <a:off x="0" y="0"/>
                      <a:ext cx="3017520" cy="2310289"/>
                    </a:xfrm>
                    <a:prstGeom prst="rect"/>
                  </pic:spPr>
                </pic:pic>
              </a:graphicData>
            </a:graphic>
          </wp:inline>
        </w:drawing>
      </w:r>
    </w:p>
    <w:p>
      <w:pPr>
        <w:spacing w:before="40" w:after="120"/>
        <w:jc w:val="center"/>
      </w:pPr>
      <w:r>
        <w:rPr>
          <w:i/>
          <w:sz w:val="17"/>
        </w:rPr>
        <w:t>Fig. 4. Receiver Operating Characteristic (ROC) multi-model cross-validation comparison.</w:t>
      </w:r>
    </w:p>
    <w:p>
      <w:pPr>
        <w:spacing w:before="120" w:after="40"/>
        <w:jc w:val="center"/>
      </w:pPr>
      <w:r>
        <w:drawing>
          <wp:inline xmlns:a="http://schemas.openxmlformats.org/drawingml/2006/main" xmlns:pic="http://schemas.openxmlformats.org/drawingml/2006/picture">
            <wp:extent cx="3017520" cy="1810512"/>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3017520" cy="1810512"/>
                    </a:xfrm>
                    <a:prstGeom prst="rect"/>
                  </pic:spPr>
                </pic:pic>
              </a:graphicData>
            </a:graphic>
          </wp:inline>
        </w:drawing>
      </w:r>
    </w:p>
    <w:p>
      <w:pPr>
        <w:spacing w:before="40" w:after="120"/>
        <w:jc w:val="center"/>
      </w:pPr>
      <w:r>
        <w:rPr>
          <w:i/>
          <w:sz w:val="17"/>
        </w:rPr>
        <w:t>Fig. 5. Random Forest Gini impurity feature importance ranking.</w:t>
      </w:r>
    </w:p>
    <w:p>
      <w:pPr>
        <w:spacing w:before="120" w:after="40"/>
        <w:jc w:val="center"/>
      </w:pPr>
      <w:r>
        <w:drawing>
          <wp:inline xmlns:a="http://schemas.openxmlformats.org/drawingml/2006/main" xmlns:pic="http://schemas.openxmlformats.org/drawingml/2006/picture">
            <wp:extent cx="3017520" cy="2502194"/>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3017520" cy="2502194"/>
                    </a:xfrm>
                    <a:prstGeom prst="rect"/>
                  </pic:spPr>
                </pic:pic>
              </a:graphicData>
            </a:graphic>
          </wp:inline>
        </w:drawing>
      </w:r>
    </w:p>
    <w:p>
      <w:pPr>
        <w:spacing w:before="40" w:after="120"/>
        <w:jc w:val="center"/>
      </w:pPr>
      <w:r>
        <w:rPr>
          <w:i/>
          <w:sz w:val="17"/>
        </w:rPr>
        <w:t>Fig. 6. Normalized confusion matrix of the production Random Forest classifier.</w:t>
      </w:r>
    </w:p>
    <w:p>
      <w:pPr>
        <w:spacing w:before="200" w:after="80"/>
        <w:jc w:val="center"/>
      </w:pPr>
      <w:r>
        <w:rPr>
          <w:rFonts w:ascii="Times New Roman" w:hAnsi="Times New Roman"/>
          <w:b/>
          <w:sz w:val="20"/>
        </w:rPr>
        <w:t>VII. GIS SURVEILLANCE &amp; WEB DEPLOYMENT</w:t>
      </w:r>
    </w:p>
    <w:p>
      <w:pPr>
        <w:spacing w:line="252" w:lineRule="auto" w:after="80"/>
        <w:jc w:val="both"/>
      </w:pPr>
      <w:r>
        <w:rPr>
          <w:sz w:val="19"/>
        </w:rPr>
        <w:t>The model is integrated into an interactive Folium GIS map (gis_outbreak_mapper.py) and a Streamlit dashboard (app.py). Twelve simulated Bangalore municipal ward nodes are classified into: (1) Red (Critical Alert, Risk &gt;= 0.65) triggering immediate boil-water warnings; (2) Orange (Moderate Warning, 0.48 &lt;= Risk &lt; 0.65) indicating disinfectant depletion requiring chlorine boosters; and (3) Green (Low Risk, Risk &lt; 0.48). The Streamlit dashboard enables real-time slider risk inference and batch CSV triage.</w:t>
      </w:r>
    </w:p>
    <w:p>
      <w:pPr>
        <w:spacing w:before="120" w:after="40"/>
        <w:jc w:val="center"/>
      </w:pPr>
      <w:r>
        <w:drawing>
          <wp:inline xmlns:a="http://schemas.openxmlformats.org/drawingml/2006/main" xmlns:pic="http://schemas.openxmlformats.org/drawingml/2006/picture">
            <wp:extent cx="3017520" cy="2054482"/>
            <wp:docPr id="7" name="Picture 7"/>
            <wp:cNvGraphicFramePr>
              <a:graphicFrameLocks noChangeAspect="1"/>
            </wp:cNvGraphicFramePr>
            <a:graphic>
              <a:graphicData uri="http://schemas.openxmlformats.org/drawingml/2006/picture">
                <pic:pic>
                  <pic:nvPicPr>
                    <pic:cNvPr id="0" name="ui_dashboard.png"/>
                    <pic:cNvPicPr/>
                  </pic:nvPicPr>
                  <pic:blipFill>
                    <a:blip r:embed="rId15"/>
                    <a:stretch>
                      <a:fillRect/>
                    </a:stretch>
                  </pic:blipFill>
                  <pic:spPr>
                    <a:xfrm>
                      <a:off x="0" y="0"/>
                      <a:ext cx="3017520" cy="2054482"/>
                    </a:xfrm>
                    <a:prstGeom prst="rect"/>
                  </pic:spPr>
                </pic:pic>
              </a:graphicData>
            </a:graphic>
          </wp:inline>
        </w:drawing>
      </w:r>
    </w:p>
    <w:p>
      <w:pPr>
        <w:spacing w:before="40" w:after="120"/>
        <w:jc w:val="center"/>
      </w:pPr>
      <w:r>
        <w:rPr>
          <w:i/>
          <w:sz w:val="17"/>
        </w:rPr>
        <w:t>Fig. 7. Web application dashboard interface (app.py).</w:t>
      </w:r>
    </w:p>
    <w:p>
      <w:pPr>
        <w:spacing w:before="120" w:after="40"/>
        <w:jc w:val="center"/>
      </w:pPr>
      <w:r>
        <w:drawing>
          <wp:inline xmlns:a="http://schemas.openxmlformats.org/drawingml/2006/main" xmlns:pic="http://schemas.openxmlformats.org/drawingml/2006/picture">
            <wp:extent cx="3017520" cy="1950720"/>
            <wp:docPr id="8" name="Picture 8"/>
            <wp:cNvGraphicFramePr>
              <a:graphicFrameLocks noChangeAspect="1"/>
            </wp:cNvGraphicFramePr>
            <a:graphic>
              <a:graphicData uri="http://schemas.openxmlformats.org/drawingml/2006/picture">
                <pic:pic>
                  <pic:nvPicPr>
                    <pic:cNvPr id="0" name="gis_map_view.png"/>
                    <pic:cNvPicPr/>
                  </pic:nvPicPr>
                  <pic:blipFill>
                    <a:blip r:embed="rId16"/>
                    <a:stretch>
                      <a:fillRect/>
                    </a:stretch>
                  </pic:blipFill>
                  <pic:spPr>
                    <a:xfrm>
                      <a:off x="0" y="0"/>
                      <a:ext cx="3017520" cy="1950720"/>
                    </a:xfrm>
                    <a:prstGeom prst="rect"/>
                  </pic:spPr>
                </pic:pic>
              </a:graphicData>
            </a:graphic>
          </wp:inline>
        </w:drawing>
      </w:r>
    </w:p>
    <w:p>
      <w:pPr>
        <w:spacing w:before="40" w:after="120"/>
        <w:jc w:val="center"/>
      </w:pPr>
      <w:r>
        <w:rPr>
          <w:i/>
          <w:sz w:val="17"/>
        </w:rPr>
        <w:t>Fig. 8. GIS spatial outbreak surveillance map with Bengaluru ward cluster layers.</w:t>
      </w:r>
    </w:p>
    <w:p>
      <w:pPr>
        <w:spacing w:before="200" w:after="80"/>
        <w:jc w:val="center"/>
      </w:pPr>
      <w:r>
        <w:rPr>
          <w:rFonts w:ascii="Times New Roman" w:hAnsi="Times New Roman"/>
          <w:b/>
          <w:sz w:val="20"/>
        </w:rPr>
        <w:t>VIII. CONCLUSION</w:t>
      </w:r>
    </w:p>
    <w:p>
      <w:pPr>
        <w:spacing w:line="252" w:lineRule="auto" w:after="80"/>
        <w:jc w:val="both"/>
      </w:pPr>
      <w:r>
        <w:rPr>
          <w:sz w:val="19"/>
        </w:rPr>
        <w:t>Project PRJ_441 successfully demonstrated an integrated ML-GIS early-warning platform that translates rapid physicochemical water telemetry into prospective disease outbreak intelligence, eliminating the critical 48-hour laboratory incubation delay. Supported by outlier-resistant median imputation, domain CRI indicators, cross-validated Random Forest ensembles (64.77% accuracy, 0.672 ROC-AUC, 76.0% unsafe recall), and interactive Folium GIS mapping, the platform empowers municipal authorities to preempt waterborne epidemics before clinical admissions surge.</w:t>
      </w:r>
    </w:p>
    <w:p>
      <w:pPr>
        <w:spacing w:before="200" w:after="80"/>
        <w:jc w:val="center"/>
      </w:pPr>
      <w:r>
        <w:rPr>
          <w:rFonts w:ascii="Times New Roman" w:hAnsi="Times New Roman"/>
          <w:b/>
          <w:sz w:val="20"/>
        </w:rPr>
        <w:t>REFERENCES</w:t>
      </w:r>
    </w:p>
    <w:p>
      <w:pPr>
        <w:spacing w:line="252" w:lineRule="auto" w:after="40"/>
        <w:jc w:val="both"/>
      </w:pPr>
      <w:r>
        <w:rPr>
          <w:rFonts w:ascii="Times New Roman" w:hAnsi="Times New Roman"/>
          <w:sz w:val="16"/>
        </w:rPr>
        <w:t>[1] World Health Organization, Guidelines for Drinking-Water Quality: Fourth Edition, Geneva: WHO Press, 2022.</w:t>
      </w:r>
    </w:p>
    <w:p>
      <w:pPr>
        <w:spacing w:line="252" w:lineRule="auto" w:after="40"/>
        <w:jc w:val="both"/>
      </w:pPr>
      <w:r>
        <w:rPr>
          <w:rFonts w:ascii="Times New Roman" w:hAnsi="Times New Roman"/>
          <w:sz w:val="16"/>
        </w:rPr>
        <w:t>[2] A. Kadiwal, 'Water Potability Dataset,' Kaggle Datasets, 2021. [Online]. Available: https://www.kaggle.com/datasets/adityakadiwal/water-potability</w:t>
      </w:r>
    </w:p>
    <w:p>
      <w:pPr>
        <w:spacing w:line="252" w:lineRule="auto" w:after="40"/>
        <w:jc w:val="both"/>
      </w:pPr>
      <w:r>
        <w:rPr>
          <w:rFonts w:ascii="Times New Roman" w:hAnsi="Times New Roman"/>
          <w:sz w:val="16"/>
        </w:rPr>
        <w:t>[3] L. Breiman, 'Random Forests,' Machine Learning, vol. 45, no. 1, pp. 5–32, 2001.</w:t>
      </w:r>
    </w:p>
    <w:p>
      <w:pPr>
        <w:spacing w:line="252" w:lineRule="auto" w:after="40"/>
        <w:jc w:val="both"/>
      </w:pPr>
      <w:r>
        <w:rPr>
          <w:rFonts w:ascii="Times New Roman" w:hAnsi="Times New Roman"/>
          <w:sz w:val="16"/>
        </w:rPr>
        <w:t>[4] F. Pedregosa et al., 'Scikit-learn: Machine Learning in Python,' JMLR, vol. 12, pp. 2825–2830, 2011.</w:t>
      </w:r>
    </w:p>
    <w:p>
      <w:pPr>
        <w:spacing w:line="252" w:lineRule="auto" w:after="40"/>
        <w:jc w:val="both"/>
      </w:pPr>
      <w:r>
        <w:rPr>
          <w:rFonts w:ascii="Times New Roman" w:hAnsi="Times New Roman"/>
          <w:sz w:val="16"/>
        </w:rPr>
        <w:t>[5] R. Few, I. Lake, and P. R. Hunter, 'Floods, health and climate change: a strategic review,' Tyndall Centre Working Paper, no. 162, 2013.</w:t>
      </w:r>
    </w:p>
    <w:p>
      <w:pPr>
        <w:spacing w:line="252" w:lineRule="auto" w:after="40"/>
        <w:jc w:val="both"/>
      </w:pPr>
      <w:r>
        <w:rPr>
          <w:rFonts w:ascii="Times New Roman" w:hAnsi="Times New Roman"/>
          <w:sz w:val="16"/>
        </w:rPr>
        <w:t>[6] S. Saha and S. Bhowmik, 'Water quality index prediction using machine learning algorithms,' Env. Mon. &amp; Assess., vol. 192, no. 11, pp. 1–28, 2020.</w:t>
      </w:r>
    </w:p>
    <w:p>
      <w:pPr>
        <w:spacing w:line="252" w:lineRule="auto" w:after="40"/>
        <w:jc w:val="both"/>
      </w:pPr>
      <w:r>
        <w:rPr>
          <w:rFonts w:ascii="Times New Roman" w:hAnsi="Times New Roman"/>
          <w:sz w:val="16"/>
        </w:rPr>
        <w:t>[7] M. Gupta and N. B. Bolia, 'Case scheduling system for enhanced judicial performance,' Socio-Econ. Plan. Sci., vol. 103, Art. 102350, 2026.</w:t>
      </w:r>
    </w:p>
    <w:p>
      <w:pPr>
        <w:spacing w:line="252" w:lineRule="auto" w:after="40"/>
        <w:jc w:val="both"/>
      </w:pPr>
      <w:r>
        <w:rPr>
          <w:rFonts w:ascii="Times New Roman" w:hAnsi="Times New Roman"/>
          <w:sz w:val="16"/>
        </w:rPr>
        <w:t>[8] S. Russell and P. Norvig, Artificial Intelligence: A Modern Approach, 4th ed., Hoboken, NJ, USA: Pearson, 2021.</w:t>
      </w:r>
    </w:p>
    <w:sectPr w:rsidR="00FC693F" w:rsidRPr="0006063C" w:rsidSect="00034616">
      <w:pgSz w:w="11909" w:h="16834"/>
      <w:pgMar w:top="1080" w:right="900" w:bottom="1440" w:left="900" w:header="720" w:footer="720" w:gutter="0"/>
      <w:cols w:space="5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