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4B6B94"/>
          <w:sz w:val="26"/>
        </w:rPr>
        <w:t>DEPARTMENT OF INFORMATION TECHNOLOGY</w:t>
        <w:br/>
        <w:t>PSG COLLEGE OF TECHNOLOGY, COIMBATORE</w:t>
      </w:r>
    </w:p>
    <w:p>
      <w:pPr>
        <w:spacing w:after="480"/>
        <w:jc w:val="center"/>
      </w:pPr>
      <w:r>
        <w:rPr>
          <w:b/>
          <w:color w:val="646464"/>
          <w:sz w:val="22"/>
        </w:rPr>
        <w:t>23I720 – PROJECT WORK I | PROJECT REPORT</w:t>
      </w:r>
    </w:p>
    <w:p>
      <w:pPr>
        <w:spacing w:after="240"/>
        <w:jc w:val="center"/>
      </w:pPr>
      <w:r>
        <w:rPr>
          <w:b/>
          <w:color w:val="1B365D"/>
          <w:sz w:val="36"/>
        </w:rPr>
        <w:t>AN ASYMMETRIC VERIFICATION FRAMEWORK FOR CLOUD-ASSISTED RAG SYSTEMS USING MERKLE MOUNTAIN RANGE AUDITING AND DYNAMIC BOUNDARY VALIDATION</w:t>
      </w:r>
    </w:p>
    <w:p>
      <w:pPr>
        <w:spacing w:after="600"/>
        <w:jc w:val="center"/>
      </w:pPr>
      <w:r>
        <w:rPr>
          <w:i/>
          <w:color w:val="4B6B94"/>
          <w:sz w:val="22"/>
        </w:rPr>
        <w:t>A Project Report submitted in partial fulfillment of the requirements for the degree of</w:t>
        <w:br/>
        <w:t>BACHELOR OF TECHNOLOGY in INFORMATION TECHNOLOGY</w:t>
        <w:br/>
        <w:t>of Anna University</w:t>
      </w:r>
    </w:p>
    <w:tbl>
      <w:tblPr>
        <w:tblW w:type="auto" w:w="0"/>
        <w:jc w:val="center"/>
        <w:tblLook w:firstColumn="1" w:firstRow="1" w:lastColumn="0" w:lastRow="0" w:noHBand="0" w:noVBand="1" w:val="04A0"/>
      </w:tblPr>
      <w:tblGrid>
        <w:gridCol w:w="4680"/>
        <w:gridCol w:w="4680"/>
      </w:tblGrid>
      <w:tr>
        <w:tc>
          <w:tcPr>
            <w:tcW w:type="dxa" w:w="5760"/>
            <w:tcMar>
              <w:top w:w="60" w:type="dxa"/>
              <w:bottom w:w="60" w:type="dxa"/>
              <w:left w:w="100" w:type="dxa"/>
              <w:right w:w="100" w:type="dxa"/>
            </w:tcMar>
            <w:shd w:fill="1B365D"/>
          </w:tcPr>
          <w:p>
            <w:r>
              <w:rPr>
                <w:b/>
                <w:color w:val="FFFFFF"/>
                <w:sz w:val="20"/>
              </w:rPr>
              <w:t>PROJECT TEAM MEMBERS</w:t>
            </w:r>
          </w:p>
        </w:tc>
        <w:tc>
          <w:tcPr>
            <w:tcW w:type="dxa" w:w="3168"/>
            <w:tcMar>
              <w:top w:w="60" w:type="dxa"/>
              <w:bottom w:w="60" w:type="dxa"/>
              <w:left w:w="100" w:type="dxa"/>
              <w:right w:w="100" w:type="dxa"/>
            </w:tcMar>
            <w:shd w:fill="1B365D"/>
          </w:tcPr>
          <w:p>
            <w:r>
              <w:rPr>
                <w:b/>
                <w:color w:val="FFFFFF"/>
                <w:sz w:val="20"/>
              </w:rPr>
              <w:t>ROLL NUMBER</w:t>
            </w:r>
          </w:p>
        </w:tc>
      </w:tr>
      <w:tr>
        <w:tc>
          <w:tcPr>
            <w:tcW w:type="dxa" w:w="5760"/>
            <w:tcMar>
              <w:top w:w="60" w:type="dxa"/>
              <w:bottom w:w="60" w:type="dxa"/>
              <w:left w:w="100" w:type="dxa"/>
              <w:right w:w="100" w:type="dxa"/>
            </w:tcMar>
            <w:shd w:fill="F8FAFC"/>
            <w:tcBorders>
              <w:top w:val="single" w:sz="4" w:space="0" w:color="E2E8F0"/>
              <w:left w:val="none" w:sz="4" w:space="0" w:color="none"/>
              <w:bottom w:val="single" w:sz="4" w:space="0" w:color="E2E8F0"/>
              <w:right w:val="none" w:sz="4" w:space="0" w:color="none"/>
            </w:tcBorders>
          </w:tcPr>
          <w:p>
            <w:r>
              <w:rPr>
                <w:color w:val="222222"/>
                <w:sz w:val="20"/>
              </w:rPr>
              <w:t>Arul Prashanth V</w:t>
            </w:r>
          </w:p>
        </w:tc>
        <w:tc>
          <w:tcPr>
            <w:tcW w:type="dxa" w:w="3168"/>
            <w:tcMar>
              <w:top w:w="60" w:type="dxa"/>
              <w:bottom w:w="60" w:type="dxa"/>
              <w:left w:w="100" w:type="dxa"/>
              <w:right w:w="100" w:type="dxa"/>
            </w:tcMar>
            <w:shd w:fill="F8FAFC"/>
            <w:tcBorders>
              <w:top w:val="single" w:sz="4" w:space="0" w:color="E2E8F0"/>
              <w:left w:val="none" w:sz="4" w:space="0" w:color="none"/>
              <w:bottom w:val="single" w:sz="4" w:space="0" w:color="E2E8F0"/>
              <w:right w:val="none" w:sz="4" w:space="0" w:color="none"/>
            </w:tcBorders>
          </w:tcPr>
          <w:p>
            <w:r>
              <w:rPr>
                <w:color w:val="222222"/>
                <w:sz w:val="20"/>
              </w:rPr>
              <w:t>23I308</w:t>
            </w:r>
          </w:p>
        </w:tc>
      </w:tr>
      <w:tr>
        <w:tc>
          <w:tcPr>
            <w:tcW w:type="dxa" w:w="5760"/>
            <w:tcMar>
              <w:top w:w="60" w:type="dxa"/>
              <w:bottom w:w="60" w:type="dxa"/>
              <w:left w:w="100" w:type="dxa"/>
              <w:right w:w="100" w:type="dxa"/>
            </w:tcMar>
            <w:shd w:fill="FFFFFF"/>
            <w:tcBorders>
              <w:top w:val="single" w:sz="4" w:space="0" w:color="E2E8F0"/>
              <w:left w:val="none" w:sz="4" w:space="0" w:color="none"/>
              <w:bottom w:val="single" w:sz="4" w:space="0" w:color="E2E8F0"/>
              <w:right w:val="none" w:sz="4" w:space="0" w:color="none"/>
            </w:tcBorders>
          </w:tcPr>
          <w:p>
            <w:r>
              <w:rPr>
                <w:color w:val="222222"/>
                <w:sz w:val="20"/>
              </w:rPr>
              <w:t>Srinithi R</w:t>
            </w:r>
          </w:p>
        </w:tc>
        <w:tc>
          <w:tcPr>
            <w:tcW w:type="dxa" w:w="3168"/>
            <w:tcMar>
              <w:top w:w="60" w:type="dxa"/>
              <w:bottom w:w="60" w:type="dxa"/>
              <w:left w:w="100" w:type="dxa"/>
              <w:right w:w="100" w:type="dxa"/>
            </w:tcMar>
            <w:shd w:fill="FFFFFF"/>
            <w:tcBorders>
              <w:top w:val="single" w:sz="4" w:space="0" w:color="E2E8F0"/>
              <w:left w:val="none" w:sz="4" w:space="0" w:color="none"/>
              <w:bottom w:val="single" w:sz="4" w:space="0" w:color="E2E8F0"/>
              <w:right w:val="none" w:sz="4" w:space="0" w:color="none"/>
            </w:tcBorders>
          </w:tcPr>
          <w:p>
            <w:r>
              <w:rPr>
                <w:color w:val="222222"/>
                <w:sz w:val="20"/>
              </w:rPr>
              <w:t>23I364</w:t>
            </w:r>
          </w:p>
        </w:tc>
      </w:tr>
      <w:tr>
        <w:tc>
          <w:tcPr>
            <w:tcW w:type="dxa" w:w="5760"/>
            <w:tcMar>
              <w:top w:w="60" w:type="dxa"/>
              <w:bottom w:w="60" w:type="dxa"/>
              <w:left w:w="100" w:type="dxa"/>
              <w:right w:w="100" w:type="dxa"/>
            </w:tcMar>
            <w:shd w:fill="F8FAFC"/>
            <w:tcBorders>
              <w:top w:val="single" w:sz="4" w:space="0" w:color="E2E8F0"/>
              <w:left w:val="none" w:sz="4" w:space="0" w:color="none"/>
              <w:bottom w:val="single" w:sz="4" w:space="0" w:color="E2E8F0"/>
              <w:right w:val="none" w:sz="4" w:space="0" w:color="none"/>
            </w:tcBorders>
          </w:tcPr>
          <w:p>
            <w:r>
              <w:rPr>
                <w:color w:val="222222"/>
                <w:sz w:val="20"/>
              </w:rPr>
              <w:t>Sriram R</w:t>
            </w:r>
          </w:p>
        </w:tc>
        <w:tc>
          <w:tcPr>
            <w:tcW w:type="dxa" w:w="3168"/>
            <w:tcMar>
              <w:top w:w="60" w:type="dxa"/>
              <w:bottom w:w="60" w:type="dxa"/>
              <w:left w:w="100" w:type="dxa"/>
              <w:right w:w="100" w:type="dxa"/>
            </w:tcMar>
            <w:shd w:fill="F8FAFC"/>
            <w:tcBorders>
              <w:top w:val="single" w:sz="4" w:space="0" w:color="E2E8F0"/>
              <w:left w:val="none" w:sz="4" w:space="0" w:color="none"/>
              <w:bottom w:val="single" w:sz="4" w:space="0" w:color="E2E8F0"/>
              <w:right w:val="none" w:sz="4" w:space="0" w:color="none"/>
            </w:tcBorders>
          </w:tcPr>
          <w:p>
            <w:r>
              <w:rPr>
                <w:color w:val="222222"/>
                <w:sz w:val="20"/>
              </w:rPr>
              <w:t>23I365</w:t>
            </w:r>
          </w:p>
        </w:tc>
      </w:tr>
      <w:tr>
        <w:tc>
          <w:tcPr>
            <w:tcW w:type="dxa" w:w="5760"/>
            <w:tcMar>
              <w:top w:w="60" w:type="dxa"/>
              <w:bottom w:w="60" w:type="dxa"/>
              <w:left w:w="100" w:type="dxa"/>
              <w:right w:w="100" w:type="dxa"/>
            </w:tcMar>
            <w:shd w:fill="FFFFFF"/>
            <w:tcBorders>
              <w:top w:val="single" w:sz="4" w:space="0" w:color="E2E8F0"/>
              <w:left w:val="none" w:sz="4" w:space="0" w:color="none"/>
              <w:bottom w:val="single" w:sz="4" w:space="0" w:color="E2E8F0"/>
              <w:right w:val="none" w:sz="4" w:space="0" w:color="none"/>
            </w:tcBorders>
          </w:tcPr>
          <w:p>
            <w:r>
              <w:rPr>
                <w:color w:val="222222"/>
                <w:sz w:val="20"/>
              </w:rPr>
              <w:t>Jafer Sathik B</w:t>
            </w:r>
          </w:p>
        </w:tc>
        <w:tc>
          <w:tcPr>
            <w:tcW w:type="dxa" w:w="3168"/>
            <w:tcMar>
              <w:top w:w="60" w:type="dxa"/>
              <w:bottom w:w="60" w:type="dxa"/>
              <w:left w:w="100" w:type="dxa"/>
              <w:right w:w="100" w:type="dxa"/>
            </w:tcMar>
            <w:shd w:fill="FFFFFF"/>
            <w:tcBorders>
              <w:top w:val="single" w:sz="4" w:space="0" w:color="E2E8F0"/>
              <w:left w:val="none" w:sz="4" w:space="0" w:color="none"/>
              <w:bottom w:val="single" w:sz="4" w:space="0" w:color="E2E8F0"/>
              <w:right w:val="none" w:sz="4" w:space="0" w:color="none"/>
            </w:tcBorders>
          </w:tcPr>
          <w:p>
            <w:r>
              <w:rPr>
                <w:color w:val="222222"/>
                <w:sz w:val="20"/>
              </w:rPr>
              <w:t>24I464</w:t>
            </w:r>
          </w:p>
        </w:tc>
      </w:tr>
    </w:tbl>
    <w:p>
      <w:r>
        <w:br w:type="page"/>
      </w:r>
    </w:p>
    <w:p>
      <w:pPr>
        <w:pStyle w:val="Heading1"/>
        <w:keepNext/>
        <w:spacing w:before="360" w:after="120"/>
      </w:pPr>
      <w:r>
        <w:rPr>
          <w:rFonts w:ascii="Calibri" w:hAnsi="Calibri"/>
          <w:b/>
          <w:color w:val="1B365D"/>
          <w:sz w:val="32"/>
        </w:rPr>
        <w:t>BONAFIDE CERTIFICATE</w:t>
      </w:r>
    </w:p>
    <w:p>
      <w:pPr>
        <w:spacing w:line="300" w:lineRule="auto"/>
      </w:pPr>
      <w:r>
        <w:t>Certified that this project report titled 'AN ASYMMETRIC VERIFICATION FRAMEWORK FOR CLOUD-ASSISTED RAG SYSTEMS USING MERKLE MOUNTAIN RANGE AUDITING AND DYNAMIC BOUNDARY VALIDATION' is the bonafide work of Arul Prashanth V (23I308), Srinithi R (23I364), Sriram R (23I365), and Jafer Sathik B (24I464) who carried out the project work under my supervision.</w:t>
      </w:r>
    </w:p>
    <w:p>
      <w:pPr>
        <w:spacing w:after="800"/>
      </w:pPr>
    </w:p>
    <w:tbl>
      <w:tblPr>
        <w:tblW w:type="auto" w:w="0"/>
        <w:jc w:val="center"/>
        <w:tblLook w:firstColumn="1" w:firstRow="1" w:lastColumn="0" w:lastRow="0" w:noHBand="0" w:noVBand="1" w:val="04A0"/>
      </w:tblPr>
      <w:tblGrid>
        <w:gridCol w:w="4680"/>
        <w:gridCol w:w="4680"/>
      </w:tblGrid>
      <w:tr>
        <w:tc>
          <w:tcPr>
            <w:tcW w:type="dxa" w:w="4608"/>
          </w:tcPr>
          <w:p>
            <w:pPr>
              <w:spacing w:line="276" w:lineRule="auto"/>
            </w:pPr>
            <w:r>
              <w:rPr>
                <w:sz w:val="20"/>
              </w:rPr>
              <w:t>Dr. R. Senthil Prabha</w:t>
              <w:br/>
              <w:t>FACULTY GUIDE</w:t>
              <w:br/>
              <w:t>Professor</w:t>
              <w:br/>
              <w:t>Department of Information Technology</w:t>
              <w:br/>
              <w:t>PSG College of Technology</w:t>
            </w:r>
          </w:p>
        </w:tc>
        <w:tc>
          <w:tcPr>
            <w:tcW w:type="dxa" w:w="4608"/>
          </w:tcPr>
          <w:p>
            <w:pPr>
              <w:spacing w:line="276" w:lineRule="auto"/>
            </w:pPr>
            <w:r>
              <w:rPr>
                <w:sz w:val="20"/>
              </w:rPr>
              <w:t>Dr. Vinoth Kumar B</w:t>
              <w:br/>
              <w:t>HEAD OF THE DEPARTMENT</w:t>
              <w:br/>
              <w:t>Professor and Head</w:t>
              <w:br/>
              <w:t>Department of Information Technology</w:t>
              <w:br/>
              <w:t>PSG College of Technology</w:t>
            </w:r>
          </w:p>
        </w:tc>
      </w:tr>
      <w:tr>
        <w:tc>
          <w:tcPr>
            <w:tcW w:type="dxa" w:w="4608"/>
          </w:tcPr>
          <w:p>
            <w:pPr>
              <w:spacing w:line="276" w:lineRule="auto"/>
            </w:pPr>
            <w:r>
              <w:rPr>
                <w:sz w:val="20"/>
              </w:rPr>
              <w:br/>
              <w:br/>
              <w:t>Internal Examiner</w:t>
            </w:r>
          </w:p>
        </w:tc>
        <w:tc>
          <w:tcPr>
            <w:tcW w:type="dxa" w:w="4608"/>
          </w:tcPr>
          <w:p>
            <w:pPr>
              <w:spacing w:line="276" w:lineRule="auto"/>
            </w:pPr>
            <w:r>
              <w:rPr>
                <w:sz w:val="20"/>
              </w:rPr>
              <w:br/>
              <w:br/>
              <w:t>External Examiner</w:t>
            </w:r>
          </w:p>
        </w:tc>
      </w:tr>
    </w:tbl>
    <w:p>
      <w:r>
        <w:br w:type="page"/>
      </w:r>
    </w:p>
    <w:p>
      <w:pPr>
        <w:pStyle w:val="Heading1"/>
        <w:keepNext/>
        <w:spacing w:before="360" w:after="120"/>
      </w:pPr>
      <w:r>
        <w:rPr>
          <w:rFonts w:ascii="Calibri" w:hAnsi="Calibri"/>
          <w:b/>
          <w:color w:val="1B365D"/>
          <w:sz w:val="32"/>
        </w:rPr>
        <w:t>ACKNOWLEDGEMENT</w:t>
      </w:r>
    </w:p>
    <w:p>
      <w:pPr>
        <w:spacing w:line="276" w:lineRule="auto" w:after="100"/>
      </w:pPr>
      <w:r>
        <w:rPr>
          <w:i w:val="0"/>
        </w:rPr>
        <w:t>Sincere gratitude is extended to Dr. G. Thilagavathi, Principal, PSG College of Technology, for providing the academic environment and institutional facilities that enabled the successful execution of this project.</w:t>
      </w:r>
    </w:p>
    <w:p>
      <w:pPr>
        <w:spacing w:line="276" w:lineRule="auto" w:after="100"/>
      </w:pPr>
      <w:r>
        <w:rPr>
          <w:i w:val="0"/>
        </w:rPr>
        <w:t>Deep appreciation is expressed to Dr. Vinoth Kumar B, Professor and Head, Department of Information Technology, for constant encouragement and for placing departmental computing and laboratory resources at the disposal of the project team.</w:t>
      </w:r>
    </w:p>
    <w:p>
      <w:pPr>
        <w:spacing w:line="276" w:lineRule="auto" w:after="100"/>
      </w:pPr>
      <w:r>
        <w:rPr>
          <w:i w:val="0"/>
        </w:rPr>
        <w:t>Profound thanks are owed to our faculty guide, Dr. R. Senthil Prabha, Professor, Department of Information Technology, for patient direction, timely technical suggestions, and rigorous review at every stage of this work. Constructive feedback provided during each project review shaped the architectural and cryptographic direction of this research.</w:t>
      </w:r>
    </w:p>
    <w:p>
      <w:pPr>
        <w:spacing w:line="276" w:lineRule="auto" w:after="100"/>
      </w:pPr>
      <w:r>
        <w:rPr>
          <w:i w:val="0"/>
        </w:rPr>
        <w:t>Appreciation is also extended to our class tutor, Dr. Hema Priya N, Assistant Professor, Department of Information Technology, for continuous academic support and administrative guidance throughout the semester.</w:t>
      </w:r>
    </w:p>
    <w:p>
      <w:pPr>
        <w:spacing w:line="276" w:lineRule="auto" w:after="100"/>
      </w:pPr>
      <w:r>
        <w:rPr>
          <w:i w:val="0"/>
        </w:rPr>
        <w:t>Special thanks are accorded to the faculty and technical staff of the Department of Information Technology, as well as the open-source maintainers of Qdrant, FAISS, and Sentence-Transformers.</w:t>
      </w:r>
    </w:p>
    <w:p>
      <w:pPr>
        <w:spacing w:line="276" w:lineRule="auto" w:after="100"/>
      </w:pPr>
      <w:r>
        <w:rPr>
          <w:i w:val="0"/>
        </w:rPr>
        <w:t>Finally, heartfelt gratitude is expressed to our parents, family members, and peers for constant understanding and encouragement throughout the duration of this project.</w:t>
      </w:r>
    </w:p>
    <w:p>
      <w:r>
        <w:br w:type="page"/>
      </w:r>
    </w:p>
    <w:p>
      <w:pPr>
        <w:pStyle w:val="Heading1"/>
        <w:keepNext/>
        <w:spacing w:before="360" w:after="120"/>
      </w:pPr>
      <w:r>
        <w:rPr>
          <w:rFonts w:ascii="Calibri" w:hAnsi="Calibri"/>
          <w:b/>
          <w:color w:val="1B365D"/>
          <w:sz w:val="32"/>
        </w:rPr>
        <w:t>SYNOPSIS</w:t>
      </w:r>
    </w:p>
    <w:p>
      <w:pPr>
        <w:spacing w:line="276" w:lineRule="auto" w:after="100"/>
      </w:pPr>
      <w:r>
        <w:rPr>
          <w:i w:val="0"/>
        </w:rPr>
        <w:t>Retrieval-Augmented Generation (RAG) mitigates factual hallucinations in Large Language Models (LLMs) by grounding generative inference on external enterprise knowledge bases. Because maintaining multi-gigabyte high-dimensional vector indices and executing low-latency Approximate Nearest Neighbor (ANN) searches require substantial memory and computational infrastructure, organizations routinely outsource vector storage and similarity search to commercial cloud providers. However, delegating vector operations to untrusted third-party cloud infrastructures introduces severe security vulnerabilities, including plaintext document exposure, dense embedding inversion attacks, malicious chunk forgery, cross-tenant data leakage, and silent cluster omission by cost-cutting servers. Existing verifiable retrieval frameworks rely predominantly on Zero-Knowledge Proofs (ZKPs) or Fully Homomorphic Encryption (FHE), which impose 10 to 100 seconds of proving latency and massive memory footprints exceeding 32 GB of RAM per query, rendering those schemes impractical for real-time enterprise workflows.</w:t>
      </w:r>
    </w:p>
    <w:p>
      <w:pPr>
        <w:spacing w:line="276" w:lineRule="auto" w:after="100"/>
      </w:pPr>
      <w:r>
        <w:rPr>
          <w:i w:val="0"/>
        </w:rPr>
        <w:t>This project proposes an Asymmetric Verification Framework for cloud-assisted RAG systems that establishes a zero-knowledge-proof-free trust boundary between a trusted client enclave and an untrusted cloud vector database. During the offline ingestion phase, the client enclave performs hierarchical parent-child document chunking, local dense vector embedding using 384-dimensional models (such as all-MiniLM-L6-v2 and BAAI/bge-small-en-v1.5), QR-based isometric orthogonal matrix masking paired with secret coordinate permutation, and AES-256-GCM authenticated payload encryption. The orthogonal transformation strictly preserves inner products and cosine similarity rankings on the untrusted cloud while mathematically neutralizing embedding inversion attacks.</w:t>
      </w:r>
    </w:p>
    <w:p>
      <w:pPr>
        <w:spacing w:line="276" w:lineRule="auto" w:after="100"/>
      </w:pPr>
      <w:r>
        <w:rPr>
          <w:i w:val="0"/>
        </w:rPr>
        <w:t>Empirical evaluations demonstrate 100% detection of adversarial tampering, cluster omission, and cross-tenant intrusion. Under normal execution, the system achieves a 2.15 ms verification latency, while adversarial interception and abort protocols complete in under 30 ms (26.00 to 29.91 ms), yielding a 300x to 500x speedup over state-of-the-art zk-SNARK baselines.</w:t>
      </w:r>
    </w:p>
    <w:p>
      <w:r>
        <w:br w:type="page"/>
      </w:r>
    </w:p>
    <w:p>
      <w:pPr>
        <w:pStyle w:val="Heading1"/>
        <w:keepNext/>
        <w:spacing w:before="360" w:after="120"/>
      </w:pPr>
      <w:r>
        <w:rPr>
          <w:rFonts w:ascii="Calibri" w:hAnsi="Calibri"/>
          <w:b/>
          <w:color w:val="1B365D"/>
          <w:sz w:val="32"/>
        </w:rPr>
        <w:t>TABLE OF CONTENTS</w:t>
      </w:r>
    </w:p>
    <w:tbl>
      <w:tblPr>
        <w:tblW w:type="auto" w:w="0"/>
        <w:jc w:val="center"/>
        <w:tblLook w:firstColumn="1" w:firstRow="1" w:lastColumn="0" w:lastRow="0" w:noHBand="0" w:noVBand="1" w:val="04A0"/>
      </w:tblPr>
      <w:tblGrid>
        <w:gridCol w:w="4680"/>
        <w:gridCol w:w="4680"/>
      </w:tblGrid>
      <w:tr>
        <w:tc>
          <w:tcPr>
            <w:tcW w:type="dxa" w:w="7488"/>
            <w:tcMar>
              <w:top w:w="20" w:type="dxa"/>
              <w:bottom w:w="20" w:type="dxa"/>
              <w:left w:w="40" w:type="dxa"/>
              <w:right w:w="40" w:type="dxa"/>
            </w:tcMar>
          </w:tcPr>
          <w:p>
            <w:r>
              <w:rPr>
                <w:b/>
                <w:color w:val="1B365D"/>
                <w:sz w:val="20"/>
              </w:rPr>
              <w:t>Chapter 1: Introduction</w:t>
            </w:r>
          </w:p>
        </w:tc>
        <w:tc>
          <w:tcPr>
            <w:tcW w:type="dxa" w:w="1440"/>
            <w:tcMar>
              <w:top w:w="20" w:type="dxa"/>
              <w:bottom w:w="20" w:type="dxa"/>
              <w:left w:w="40" w:type="dxa"/>
              <w:right w:w="40" w:type="dxa"/>
            </w:tcMar>
          </w:tcPr>
          <w:p>
            <w:pPr>
              <w:jc w:val="right"/>
            </w:pPr>
            <w:r>
              <w:rPr>
                <w:b/>
                <w:sz w:val="20"/>
              </w:rPr>
              <w:t>1</w:t>
            </w:r>
          </w:p>
        </w:tc>
      </w:tr>
      <w:tr>
        <w:tc>
          <w:tcPr>
            <w:tcW w:type="dxa" w:w="7488"/>
            <w:tcMar>
              <w:top w:w="20" w:type="dxa"/>
              <w:bottom w:w="20" w:type="dxa"/>
              <w:left w:w="40" w:type="dxa"/>
              <w:right w:w="40" w:type="dxa"/>
            </w:tcMar>
          </w:tcPr>
          <w:p>
            <w:r>
              <w:rPr>
                <w:sz w:val="20"/>
              </w:rPr>
              <w:t xml:space="preserve">   1.1 Background and Motivation</w:t>
            </w:r>
          </w:p>
        </w:tc>
        <w:tc>
          <w:tcPr>
            <w:tcW w:type="dxa" w:w="1440"/>
            <w:tcMar>
              <w:top w:w="20" w:type="dxa"/>
              <w:bottom w:w="20" w:type="dxa"/>
              <w:left w:w="40" w:type="dxa"/>
              <w:right w:w="40" w:type="dxa"/>
            </w:tcMar>
          </w:tcPr>
          <w:p>
            <w:pPr>
              <w:jc w:val="right"/>
            </w:pPr>
            <w:r>
              <w:rPr>
                <w:sz w:val="20"/>
              </w:rPr>
              <w:t>1</w:t>
            </w:r>
          </w:p>
        </w:tc>
      </w:tr>
      <w:tr>
        <w:tc>
          <w:tcPr>
            <w:tcW w:type="dxa" w:w="7488"/>
            <w:tcMar>
              <w:top w:w="20" w:type="dxa"/>
              <w:bottom w:w="20" w:type="dxa"/>
              <w:left w:w="40" w:type="dxa"/>
              <w:right w:w="40" w:type="dxa"/>
            </w:tcMar>
          </w:tcPr>
          <w:p>
            <w:r>
              <w:rPr>
                <w:sz w:val="20"/>
              </w:rPr>
              <w:t xml:space="preserve">   1.2 Problem Statement</w:t>
            </w:r>
          </w:p>
        </w:tc>
        <w:tc>
          <w:tcPr>
            <w:tcW w:type="dxa" w:w="1440"/>
            <w:tcMar>
              <w:top w:w="20" w:type="dxa"/>
              <w:bottom w:w="20" w:type="dxa"/>
              <w:left w:w="40" w:type="dxa"/>
              <w:right w:w="40" w:type="dxa"/>
            </w:tcMar>
          </w:tcPr>
          <w:p>
            <w:pPr>
              <w:jc w:val="right"/>
            </w:pPr>
            <w:r>
              <w:rPr>
                <w:sz w:val="20"/>
              </w:rPr>
              <w:t>2</w:t>
            </w:r>
          </w:p>
        </w:tc>
      </w:tr>
      <w:tr>
        <w:tc>
          <w:tcPr>
            <w:tcW w:type="dxa" w:w="7488"/>
            <w:tcMar>
              <w:top w:w="20" w:type="dxa"/>
              <w:bottom w:w="20" w:type="dxa"/>
              <w:left w:w="40" w:type="dxa"/>
              <w:right w:w="40" w:type="dxa"/>
            </w:tcMar>
          </w:tcPr>
          <w:p>
            <w:r>
              <w:rPr>
                <w:sz w:val="20"/>
              </w:rPr>
              <w:t xml:space="preserve">   1.3 Objectives</w:t>
            </w:r>
          </w:p>
        </w:tc>
        <w:tc>
          <w:tcPr>
            <w:tcW w:type="dxa" w:w="1440"/>
            <w:tcMar>
              <w:top w:w="20" w:type="dxa"/>
              <w:bottom w:w="20" w:type="dxa"/>
              <w:left w:w="40" w:type="dxa"/>
              <w:right w:w="40" w:type="dxa"/>
            </w:tcMar>
          </w:tcPr>
          <w:p>
            <w:pPr>
              <w:jc w:val="right"/>
            </w:pPr>
            <w:r>
              <w:rPr>
                <w:sz w:val="20"/>
              </w:rPr>
              <w:t>3</w:t>
            </w:r>
          </w:p>
        </w:tc>
      </w:tr>
      <w:tr>
        <w:tc>
          <w:tcPr>
            <w:tcW w:type="dxa" w:w="7488"/>
            <w:tcMar>
              <w:top w:w="20" w:type="dxa"/>
              <w:bottom w:w="20" w:type="dxa"/>
              <w:left w:w="40" w:type="dxa"/>
              <w:right w:w="40" w:type="dxa"/>
            </w:tcMar>
          </w:tcPr>
          <w:p>
            <w:r>
              <w:rPr>
                <w:sz w:val="20"/>
              </w:rPr>
              <w:t xml:space="preserve">   1.4 Proposed System Overview</w:t>
            </w:r>
          </w:p>
        </w:tc>
        <w:tc>
          <w:tcPr>
            <w:tcW w:type="dxa" w:w="1440"/>
            <w:tcMar>
              <w:top w:w="20" w:type="dxa"/>
              <w:bottom w:w="20" w:type="dxa"/>
              <w:left w:w="40" w:type="dxa"/>
              <w:right w:w="40" w:type="dxa"/>
            </w:tcMar>
          </w:tcPr>
          <w:p>
            <w:pPr>
              <w:jc w:val="right"/>
            </w:pPr>
            <w:r>
              <w:rPr>
                <w:sz w:val="20"/>
              </w:rPr>
              <w:t>4</w:t>
            </w:r>
          </w:p>
        </w:tc>
      </w:tr>
      <w:tr>
        <w:tc>
          <w:tcPr>
            <w:tcW w:type="dxa" w:w="7488"/>
            <w:tcMar>
              <w:top w:w="20" w:type="dxa"/>
              <w:bottom w:w="20" w:type="dxa"/>
              <w:left w:w="40" w:type="dxa"/>
              <w:right w:w="40" w:type="dxa"/>
            </w:tcMar>
          </w:tcPr>
          <w:p>
            <w:r>
              <w:rPr>
                <w:sz w:val="20"/>
              </w:rPr>
              <w:t xml:space="preserve">   1.5 Scope of the Project</w:t>
            </w:r>
          </w:p>
        </w:tc>
        <w:tc>
          <w:tcPr>
            <w:tcW w:type="dxa" w:w="1440"/>
            <w:tcMar>
              <w:top w:w="20" w:type="dxa"/>
              <w:bottom w:w="20" w:type="dxa"/>
              <w:left w:w="40" w:type="dxa"/>
              <w:right w:w="40" w:type="dxa"/>
            </w:tcMar>
          </w:tcPr>
          <w:p>
            <w:pPr>
              <w:jc w:val="right"/>
            </w:pPr>
            <w:r>
              <w:rPr>
                <w:sz w:val="20"/>
              </w:rPr>
              <w:t>4</w:t>
            </w:r>
          </w:p>
        </w:tc>
      </w:tr>
      <w:tr>
        <w:tc>
          <w:tcPr>
            <w:tcW w:type="dxa" w:w="7488"/>
            <w:tcMar>
              <w:top w:w="20" w:type="dxa"/>
              <w:bottom w:w="20" w:type="dxa"/>
              <w:left w:w="40" w:type="dxa"/>
              <w:right w:w="40" w:type="dxa"/>
            </w:tcMar>
          </w:tcPr>
          <w:p>
            <w:r>
              <w:rPr>
                <w:sz w:val="20"/>
              </w:rPr>
              <w:t xml:space="preserve">   1.6 Organization of the Report</w:t>
            </w:r>
          </w:p>
        </w:tc>
        <w:tc>
          <w:tcPr>
            <w:tcW w:type="dxa" w:w="1440"/>
            <w:tcMar>
              <w:top w:w="20" w:type="dxa"/>
              <w:bottom w:w="20" w:type="dxa"/>
              <w:left w:w="40" w:type="dxa"/>
              <w:right w:w="40" w:type="dxa"/>
            </w:tcMar>
          </w:tcPr>
          <w:p>
            <w:pPr>
              <w:jc w:val="right"/>
            </w:pPr>
            <w:r>
              <w:rPr>
                <w:sz w:val="20"/>
              </w:rPr>
              <w:t>5</w:t>
            </w:r>
          </w:p>
        </w:tc>
      </w:tr>
      <w:tr>
        <w:tc>
          <w:tcPr>
            <w:tcW w:type="dxa" w:w="7488"/>
            <w:tcMar>
              <w:top w:w="20" w:type="dxa"/>
              <w:bottom w:w="20" w:type="dxa"/>
              <w:left w:w="40" w:type="dxa"/>
              <w:right w:w="40" w:type="dxa"/>
            </w:tcMar>
          </w:tcPr>
          <w:p>
            <w:r>
              <w:rPr>
                <w:b/>
                <w:color w:val="1B365D"/>
                <w:sz w:val="20"/>
              </w:rPr>
              <w:t>Chapter 2: Traditional Methods</w:t>
            </w:r>
          </w:p>
        </w:tc>
        <w:tc>
          <w:tcPr>
            <w:tcW w:type="dxa" w:w="1440"/>
            <w:tcMar>
              <w:top w:w="20" w:type="dxa"/>
              <w:bottom w:w="20" w:type="dxa"/>
              <w:left w:w="40" w:type="dxa"/>
              <w:right w:w="40" w:type="dxa"/>
            </w:tcMar>
          </w:tcPr>
          <w:p>
            <w:pPr>
              <w:jc w:val="right"/>
            </w:pPr>
            <w:r>
              <w:rPr>
                <w:b/>
                <w:sz w:val="20"/>
              </w:rPr>
              <w:t>6</w:t>
            </w:r>
          </w:p>
        </w:tc>
      </w:tr>
      <w:tr>
        <w:tc>
          <w:tcPr>
            <w:tcW w:type="dxa" w:w="7488"/>
            <w:tcMar>
              <w:top w:w="20" w:type="dxa"/>
              <w:bottom w:w="20" w:type="dxa"/>
              <w:left w:w="40" w:type="dxa"/>
              <w:right w:w="40" w:type="dxa"/>
            </w:tcMar>
          </w:tcPr>
          <w:p>
            <w:r>
              <w:rPr>
                <w:sz w:val="20"/>
              </w:rPr>
              <w:t xml:space="preserve">   2.1 Conventional Cloud Vector Retrieval and Cryptographic Schemes</w:t>
            </w:r>
          </w:p>
        </w:tc>
        <w:tc>
          <w:tcPr>
            <w:tcW w:type="dxa" w:w="1440"/>
            <w:tcMar>
              <w:top w:w="20" w:type="dxa"/>
              <w:bottom w:w="20" w:type="dxa"/>
              <w:left w:w="40" w:type="dxa"/>
              <w:right w:w="40" w:type="dxa"/>
            </w:tcMar>
          </w:tcPr>
          <w:p>
            <w:pPr>
              <w:jc w:val="right"/>
            </w:pPr>
            <w:r>
              <w:rPr>
                <w:sz w:val="20"/>
              </w:rPr>
              <w:t>6</w:t>
            </w:r>
          </w:p>
        </w:tc>
      </w:tr>
      <w:tr>
        <w:tc>
          <w:tcPr>
            <w:tcW w:type="dxa" w:w="7488"/>
            <w:tcMar>
              <w:top w:w="20" w:type="dxa"/>
              <w:bottom w:w="20" w:type="dxa"/>
              <w:left w:w="40" w:type="dxa"/>
              <w:right w:w="40" w:type="dxa"/>
            </w:tcMar>
          </w:tcPr>
          <w:p>
            <w:r>
              <w:rPr>
                <w:sz w:val="20"/>
              </w:rPr>
              <w:t xml:space="preserve">   2.2 Earlier Privacy-Preserving and Verifiable RAG Approaches</w:t>
            </w:r>
          </w:p>
        </w:tc>
        <w:tc>
          <w:tcPr>
            <w:tcW w:type="dxa" w:w="1440"/>
            <w:tcMar>
              <w:top w:w="20" w:type="dxa"/>
              <w:bottom w:w="20" w:type="dxa"/>
              <w:left w:w="40" w:type="dxa"/>
              <w:right w:w="40" w:type="dxa"/>
            </w:tcMar>
          </w:tcPr>
          <w:p>
            <w:pPr>
              <w:jc w:val="right"/>
            </w:pPr>
            <w:r>
              <w:rPr>
                <w:sz w:val="20"/>
              </w:rPr>
              <w:t>7</w:t>
            </w:r>
          </w:p>
        </w:tc>
      </w:tr>
      <w:tr>
        <w:tc>
          <w:tcPr>
            <w:tcW w:type="dxa" w:w="7488"/>
            <w:tcMar>
              <w:top w:w="20" w:type="dxa"/>
              <w:bottom w:w="20" w:type="dxa"/>
              <w:left w:w="40" w:type="dxa"/>
              <w:right w:w="40" w:type="dxa"/>
            </w:tcMar>
          </w:tcPr>
          <w:p>
            <w:r>
              <w:rPr>
                <w:sz w:val="20"/>
              </w:rPr>
              <w:t xml:space="preserve">   2.3 Foundational Mathematical and Cryptographic Preliminaries</w:t>
            </w:r>
          </w:p>
        </w:tc>
        <w:tc>
          <w:tcPr>
            <w:tcW w:type="dxa" w:w="1440"/>
            <w:tcMar>
              <w:top w:w="20" w:type="dxa"/>
              <w:bottom w:w="20" w:type="dxa"/>
              <w:left w:w="40" w:type="dxa"/>
              <w:right w:w="40" w:type="dxa"/>
            </w:tcMar>
          </w:tcPr>
          <w:p>
            <w:pPr>
              <w:jc w:val="right"/>
            </w:pPr>
            <w:r>
              <w:rPr>
                <w:sz w:val="20"/>
              </w:rPr>
              <w:t>9</w:t>
            </w:r>
          </w:p>
        </w:tc>
      </w:tr>
      <w:tr>
        <w:tc>
          <w:tcPr>
            <w:tcW w:type="dxa" w:w="7488"/>
            <w:tcMar>
              <w:top w:w="20" w:type="dxa"/>
              <w:bottom w:w="20" w:type="dxa"/>
              <w:left w:w="40" w:type="dxa"/>
              <w:right w:w="40" w:type="dxa"/>
            </w:tcMar>
          </w:tcPr>
          <w:p>
            <w:r>
              <w:rPr>
                <w:sz w:val="20"/>
              </w:rPr>
              <w:t xml:space="preserve">   2.4 Limitations of Existing Approaches</w:t>
            </w:r>
          </w:p>
        </w:tc>
        <w:tc>
          <w:tcPr>
            <w:tcW w:type="dxa" w:w="1440"/>
            <w:tcMar>
              <w:top w:w="20" w:type="dxa"/>
              <w:bottom w:w="20" w:type="dxa"/>
              <w:left w:w="40" w:type="dxa"/>
              <w:right w:w="40" w:type="dxa"/>
            </w:tcMar>
          </w:tcPr>
          <w:p>
            <w:pPr>
              <w:jc w:val="right"/>
            </w:pPr>
            <w:r>
              <w:rPr>
                <w:sz w:val="20"/>
              </w:rPr>
              <w:t>10</w:t>
            </w:r>
          </w:p>
        </w:tc>
      </w:tr>
      <w:tr>
        <w:tc>
          <w:tcPr>
            <w:tcW w:type="dxa" w:w="7488"/>
            <w:tcMar>
              <w:top w:w="20" w:type="dxa"/>
              <w:bottom w:w="20" w:type="dxa"/>
              <w:left w:w="40" w:type="dxa"/>
              <w:right w:w="40" w:type="dxa"/>
            </w:tcMar>
          </w:tcPr>
          <w:p>
            <w:r>
              <w:rPr>
                <w:b/>
                <w:color w:val="1B365D"/>
                <w:sz w:val="20"/>
              </w:rPr>
              <w:t>Chapter 3: Idea Proposed</w:t>
            </w:r>
          </w:p>
        </w:tc>
        <w:tc>
          <w:tcPr>
            <w:tcW w:type="dxa" w:w="1440"/>
            <w:tcMar>
              <w:top w:w="20" w:type="dxa"/>
              <w:bottom w:w="20" w:type="dxa"/>
              <w:left w:w="40" w:type="dxa"/>
              <w:right w:w="40" w:type="dxa"/>
            </w:tcMar>
          </w:tcPr>
          <w:p>
            <w:pPr>
              <w:jc w:val="right"/>
            </w:pPr>
            <w:r>
              <w:rPr>
                <w:b/>
                <w:sz w:val="20"/>
              </w:rPr>
              <w:t>12</w:t>
            </w:r>
          </w:p>
        </w:tc>
      </w:tr>
      <w:tr>
        <w:tc>
          <w:tcPr>
            <w:tcW w:type="dxa" w:w="7488"/>
            <w:tcMar>
              <w:top w:w="20" w:type="dxa"/>
              <w:bottom w:w="20" w:type="dxa"/>
              <w:left w:w="40" w:type="dxa"/>
              <w:right w:w="40" w:type="dxa"/>
            </w:tcMar>
          </w:tcPr>
          <w:p>
            <w:r>
              <w:rPr>
                <w:sz w:val="20"/>
              </w:rPr>
              <w:t xml:space="preserve">   3.1 System Threat Model and Security Assumptions</w:t>
            </w:r>
          </w:p>
        </w:tc>
        <w:tc>
          <w:tcPr>
            <w:tcW w:type="dxa" w:w="1440"/>
            <w:tcMar>
              <w:top w:w="20" w:type="dxa"/>
              <w:bottom w:w="20" w:type="dxa"/>
              <w:left w:w="40" w:type="dxa"/>
              <w:right w:w="40" w:type="dxa"/>
            </w:tcMar>
          </w:tcPr>
          <w:p>
            <w:pPr>
              <w:jc w:val="right"/>
            </w:pPr>
            <w:r>
              <w:rPr>
                <w:sz w:val="20"/>
              </w:rPr>
              <w:t>12</w:t>
            </w:r>
          </w:p>
        </w:tc>
      </w:tr>
      <w:tr>
        <w:tc>
          <w:tcPr>
            <w:tcW w:type="dxa" w:w="7488"/>
            <w:tcMar>
              <w:top w:w="20" w:type="dxa"/>
              <w:bottom w:w="20" w:type="dxa"/>
              <w:left w:w="40" w:type="dxa"/>
              <w:right w:w="40" w:type="dxa"/>
            </w:tcMar>
          </w:tcPr>
          <w:p>
            <w:r>
              <w:rPr>
                <w:sz w:val="20"/>
              </w:rPr>
              <w:t xml:space="preserve">   3.2 Overview of the Asymmetric Verification Framework</w:t>
            </w:r>
          </w:p>
        </w:tc>
        <w:tc>
          <w:tcPr>
            <w:tcW w:type="dxa" w:w="1440"/>
            <w:tcMar>
              <w:top w:w="20" w:type="dxa"/>
              <w:bottom w:w="20" w:type="dxa"/>
              <w:left w:w="40" w:type="dxa"/>
              <w:right w:w="40" w:type="dxa"/>
            </w:tcMar>
          </w:tcPr>
          <w:p>
            <w:pPr>
              <w:jc w:val="right"/>
            </w:pPr>
            <w:r>
              <w:rPr>
                <w:sz w:val="20"/>
              </w:rPr>
              <w:t>13</w:t>
            </w:r>
          </w:p>
        </w:tc>
      </w:tr>
      <w:tr>
        <w:tc>
          <w:tcPr>
            <w:tcW w:type="dxa" w:w="7488"/>
            <w:tcMar>
              <w:top w:w="20" w:type="dxa"/>
              <w:bottom w:w="20" w:type="dxa"/>
              <w:left w:w="40" w:type="dxa"/>
              <w:right w:w="40" w:type="dxa"/>
            </w:tcMar>
          </w:tcPr>
          <w:p>
            <w:r>
              <w:rPr>
                <w:sz w:val="20"/>
              </w:rPr>
              <w:t xml:space="preserve">   3.3 Phase A: Local Ingestion, Hierarchical Chunking, and Privacy Transformation</w:t>
            </w:r>
          </w:p>
        </w:tc>
        <w:tc>
          <w:tcPr>
            <w:tcW w:type="dxa" w:w="1440"/>
            <w:tcMar>
              <w:top w:w="20" w:type="dxa"/>
              <w:bottom w:w="20" w:type="dxa"/>
              <w:left w:w="40" w:type="dxa"/>
              <w:right w:w="40" w:type="dxa"/>
            </w:tcMar>
          </w:tcPr>
          <w:p>
            <w:pPr>
              <w:jc w:val="right"/>
            </w:pPr>
            <w:r>
              <w:rPr>
                <w:sz w:val="20"/>
              </w:rPr>
              <w:t>15</w:t>
            </w:r>
          </w:p>
        </w:tc>
      </w:tr>
      <w:tr>
        <w:tc>
          <w:tcPr>
            <w:tcW w:type="dxa" w:w="7488"/>
            <w:tcMar>
              <w:top w:w="20" w:type="dxa"/>
              <w:bottom w:w="20" w:type="dxa"/>
              <w:left w:w="40" w:type="dxa"/>
              <w:right w:w="40" w:type="dxa"/>
            </w:tcMar>
          </w:tcPr>
          <w:p>
            <w:r>
              <w:rPr>
                <w:sz w:val="20"/>
              </w:rPr>
              <w:t xml:space="preserve">   3.4 Phase A: Two-Tier Merkle Mountain Range Trust Structure Builder</w:t>
            </w:r>
          </w:p>
        </w:tc>
        <w:tc>
          <w:tcPr>
            <w:tcW w:type="dxa" w:w="1440"/>
            <w:tcMar>
              <w:top w:w="20" w:type="dxa"/>
              <w:bottom w:w="20" w:type="dxa"/>
              <w:left w:w="40" w:type="dxa"/>
              <w:right w:w="40" w:type="dxa"/>
            </w:tcMar>
          </w:tcPr>
          <w:p>
            <w:pPr>
              <w:jc w:val="right"/>
            </w:pPr>
            <w:r>
              <w:rPr>
                <w:sz w:val="20"/>
              </w:rPr>
              <w:t>17</w:t>
            </w:r>
          </w:p>
        </w:tc>
      </w:tr>
      <w:tr>
        <w:tc>
          <w:tcPr>
            <w:tcW w:type="dxa" w:w="7488"/>
            <w:tcMar>
              <w:top w:w="20" w:type="dxa"/>
              <w:bottom w:w="20" w:type="dxa"/>
              <w:left w:w="40" w:type="dxa"/>
              <w:right w:w="40" w:type="dxa"/>
            </w:tcMar>
          </w:tcPr>
          <w:p>
            <w:r>
              <w:rPr>
                <w:sz w:val="20"/>
              </w:rPr>
              <w:t xml:space="preserve">   3.5 Phase B: Cloud Multi-Probe ANN Search and Dynamic Boundary Validation</w:t>
            </w:r>
          </w:p>
        </w:tc>
        <w:tc>
          <w:tcPr>
            <w:tcW w:type="dxa" w:w="1440"/>
            <w:tcMar>
              <w:top w:w="20" w:type="dxa"/>
              <w:bottom w:w="20" w:type="dxa"/>
              <w:left w:w="40" w:type="dxa"/>
              <w:right w:w="40" w:type="dxa"/>
            </w:tcMar>
          </w:tcPr>
          <w:p>
            <w:pPr>
              <w:jc w:val="right"/>
            </w:pPr>
            <w:r>
              <w:rPr>
                <w:sz w:val="20"/>
              </w:rPr>
              <w:t>18</w:t>
            </w:r>
          </w:p>
        </w:tc>
      </w:tr>
      <w:tr>
        <w:tc>
          <w:tcPr>
            <w:tcW w:type="dxa" w:w="7488"/>
            <w:tcMar>
              <w:top w:w="20" w:type="dxa"/>
              <w:bottom w:w="20" w:type="dxa"/>
              <w:left w:w="40" w:type="dxa"/>
              <w:right w:w="40" w:type="dxa"/>
            </w:tcMar>
          </w:tcPr>
          <w:p>
            <w:r>
              <w:rPr>
                <w:sz w:val="20"/>
              </w:rPr>
              <w:t xml:space="preserve">   3.6 Phase B: Five-Gate Sequential Client Verifier and Grounded Synthesis</w:t>
            </w:r>
          </w:p>
        </w:tc>
        <w:tc>
          <w:tcPr>
            <w:tcW w:type="dxa" w:w="1440"/>
            <w:tcMar>
              <w:top w:w="20" w:type="dxa"/>
              <w:bottom w:w="20" w:type="dxa"/>
              <w:left w:w="40" w:type="dxa"/>
              <w:right w:w="40" w:type="dxa"/>
            </w:tcMar>
          </w:tcPr>
          <w:p>
            <w:pPr>
              <w:jc w:val="right"/>
            </w:pPr>
            <w:r>
              <w:rPr>
                <w:sz w:val="20"/>
              </w:rPr>
              <w:t>19</w:t>
            </w:r>
          </w:p>
        </w:tc>
      </w:tr>
      <w:tr>
        <w:tc>
          <w:tcPr>
            <w:tcW w:type="dxa" w:w="7488"/>
            <w:tcMar>
              <w:top w:w="20" w:type="dxa"/>
              <w:bottom w:w="20" w:type="dxa"/>
              <w:left w:w="40" w:type="dxa"/>
              <w:right w:w="40" w:type="dxa"/>
            </w:tcMar>
          </w:tcPr>
          <w:p>
            <w:r>
              <w:rPr>
                <w:b/>
                <w:color w:val="1B365D"/>
                <w:sz w:val="20"/>
              </w:rPr>
              <w:t>Chapter 4: Mathematical Formulations and Security Analysis</w:t>
            </w:r>
          </w:p>
        </w:tc>
        <w:tc>
          <w:tcPr>
            <w:tcW w:type="dxa" w:w="1440"/>
            <w:tcMar>
              <w:top w:w="20" w:type="dxa"/>
              <w:bottom w:w="20" w:type="dxa"/>
              <w:left w:w="40" w:type="dxa"/>
              <w:right w:w="40" w:type="dxa"/>
            </w:tcMar>
          </w:tcPr>
          <w:p>
            <w:pPr>
              <w:jc w:val="right"/>
            </w:pPr>
            <w:r>
              <w:rPr>
                <w:b/>
                <w:sz w:val="20"/>
              </w:rPr>
              <w:t>20</w:t>
            </w:r>
          </w:p>
        </w:tc>
      </w:tr>
      <w:tr>
        <w:tc>
          <w:tcPr>
            <w:tcW w:type="dxa" w:w="7488"/>
            <w:tcMar>
              <w:top w:w="20" w:type="dxa"/>
              <w:bottom w:w="20" w:type="dxa"/>
              <w:left w:w="40" w:type="dxa"/>
              <w:right w:w="40" w:type="dxa"/>
            </w:tcMar>
          </w:tcPr>
          <w:p>
            <w:r>
              <w:rPr>
                <w:sz w:val="20"/>
              </w:rPr>
              <w:t xml:space="preserve">   4.1 Isometric Orthogonal Vector Masking and Inner-Product Preservation</w:t>
            </w:r>
          </w:p>
        </w:tc>
        <w:tc>
          <w:tcPr>
            <w:tcW w:type="dxa" w:w="1440"/>
            <w:tcMar>
              <w:top w:w="20" w:type="dxa"/>
              <w:bottom w:w="20" w:type="dxa"/>
              <w:left w:w="40" w:type="dxa"/>
              <w:right w:w="40" w:type="dxa"/>
            </w:tcMar>
          </w:tcPr>
          <w:p>
            <w:pPr>
              <w:jc w:val="right"/>
            </w:pPr>
            <w:r>
              <w:rPr>
                <w:sz w:val="20"/>
              </w:rPr>
              <w:t>20</w:t>
            </w:r>
          </w:p>
        </w:tc>
      </w:tr>
      <w:tr>
        <w:tc>
          <w:tcPr>
            <w:tcW w:type="dxa" w:w="7488"/>
            <w:tcMar>
              <w:top w:w="20" w:type="dxa"/>
              <w:bottom w:w="20" w:type="dxa"/>
              <w:left w:w="40" w:type="dxa"/>
              <w:right w:w="40" w:type="dxa"/>
            </w:tcMar>
          </w:tcPr>
          <w:p>
            <w:r>
              <w:rPr>
                <w:sz w:val="20"/>
              </w:rPr>
              <w:t xml:space="preserve">   4.2 Two-Tier Merkle Mountain Range Inclusion Proof Construction</w:t>
            </w:r>
          </w:p>
        </w:tc>
        <w:tc>
          <w:tcPr>
            <w:tcW w:type="dxa" w:w="1440"/>
            <w:tcMar>
              <w:top w:w="20" w:type="dxa"/>
              <w:bottom w:w="20" w:type="dxa"/>
              <w:left w:w="40" w:type="dxa"/>
              <w:right w:w="40" w:type="dxa"/>
            </w:tcMar>
          </w:tcPr>
          <w:p>
            <w:pPr>
              <w:jc w:val="right"/>
            </w:pPr>
            <w:r>
              <w:rPr>
                <w:sz w:val="20"/>
              </w:rPr>
              <w:t>21</w:t>
            </w:r>
          </w:p>
        </w:tc>
      </w:tr>
      <w:tr>
        <w:tc>
          <w:tcPr>
            <w:tcW w:type="dxa" w:w="7488"/>
            <w:tcMar>
              <w:top w:w="20" w:type="dxa"/>
              <w:bottom w:w="20" w:type="dxa"/>
              <w:left w:w="40" w:type="dxa"/>
              <w:right w:w="40" w:type="dxa"/>
            </w:tcMar>
          </w:tcPr>
          <w:p>
            <w:r>
              <w:rPr>
                <w:sz w:val="20"/>
              </w:rPr>
              <w:t xml:space="preserve">   4.3 Voronoi Dynamic Boundary Validation (DBV) Formulation</w:t>
            </w:r>
          </w:p>
        </w:tc>
        <w:tc>
          <w:tcPr>
            <w:tcW w:type="dxa" w:w="1440"/>
            <w:tcMar>
              <w:top w:w="20" w:type="dxa"/>
              <w:bottom w:w="20" w:type="dxa"/>
              <w:left w:w="40" w:type="dxa"/>
              <w:right w:w="40" w:type="dxa"/>
            </w:tcMar>
          </w:tcPr>
          <w:p>
            <w:pPr>
              <w:jc w:val="right"/>
            </w:pPr>
            <w:r>
              <w:rPr>
                <w:sz w:val="20"/>
              </w:rPr>
              <w:t>22</w:t>
            </w:r>
          </w:p>
        </w:tc>
      </w:tr>
      <w:tr>
        <w:tc>
          <w:tcPr>
            <w:tcW w:type="dxa" w:w="7488"/>
            <w:tcMar>
              <w:top w:w="20" w:type="dxa"/>
              <w:bottom w:w="20" w:type="dxa"/>
              <w:left w:w="40" w:type="dxa"/>
              <w:right w:w="40" w:type="dxa"/>
            </w:tcMar>
          </w:tcPr>
          <w:p>
            <w:r>
              <w:rPr>
                <w:sz w:val="20"/>
              </w:rPr>
              <w:t xml:space="preserve">   4.4 Formal Security Analysis Against Adversarial Threat Capabilities</w:t>
            </w:r>
          </w:p>
        </w:tc>
        <w:tc>
          <w:tcPr>
            <w:tcW w:type="dxa" w:w="1440"/>
            <w:tcMar>
              <w:top w:w="20" w:type="dxa"/>
              <w:bottom w:w="20" w:type="dxa"/>
              <w:left w:w="40" w:type="dxa"/>
              <w:right w:w="40" w:type="dxa"/>
            </w:tcMar>
          </w:tcPr>
          <w:p>
            <w:pPr>
              <w:jc w:val="right"/>
            </w:pPr>
            <w:r>
              <w:rPr>
                <w:sz w:val="20"/>
              </w:rPr>
              <w:t>23</w:t>
            </w:r>
          </w:p>
        </w:tc>
      </w:tr>
      <w:tr>
        <w:tc>
          <w:tcPr>
            <w:tcW w:type="dxa" w:w="7488"/>
            <w:tcMar>
              <w:top w:w="20" w:type="dxa"/>
              <w:bottom w:w="20" w:type="dxa"/>
              <w:left w:w="40" w:type="dxa"/>
              <w:right w:w="40" w:type="dxa"/>
            </w:tcMar>
          </w:tcPr>
          <w:p>
            <w:r>
              <w:rPr>
                <w:b/>
                <w:color w:val="1B365D"/>
                <w:sz w:val="20"/>
              </w:rPr>
              <w:t>Chapter 5: Experimental Evaluation and Performance Analysis</w:t>
            </w:r>
          </w:p>
        </w:tc>
        <w:tc>
          <w:tcPr>
            <w:tcW w:type="dxa" w:w="1440"/>
            <w:tcMar>
              <w:top w:w="20" w:type="dxa"/>
              <w:bottom w:w="20" w:type="dxa"/>
              <w:left w:w="40" w:type="dxa"/>
              <w:right w:w="40" w:type="dxa"/>
            </w:tcMar>
          </w:tcPr>
          <w:p>
            <w:pPr>
              <w:jc w:val="right"/>
            </w:pPr>
            <w:r>
              <w:rPr>
                <w:b/>
                <w:sz w:val="20"/>
              </w:rPr>
              <w:t>25</w:t>
            </w:r>
          </w:p>
        </w:tc>
      </w:tr>
      <w:tr>
        <w:tc>
          <w:tcPr>
            <w:tcW w:type="dxa" w:w="7488"/>
            <w:tcMar>
              <w:top w:w="20" w:type="dxa"/>
              <w:bottom w:w="20" w:type="dxa"/>
              <w:left w:w="40" w:type="dxa"/>
              <w:right w:w="40" w:type="dxa"/>
            </w:tcMar>
          </w:tcPr>
          <w:p>
            <w:r>
              <w:rPr>
                <w:sz w:val="20"/>
              </w:rPr>
              <w:t xml:space="preserve">   5.1 Implementation Environment and Experimental Setup</w:t>
            </w:r>
          </w:p>
        </w:tc>
        <w:tc>
          <w:tcPr>
            <w:tcW w:type="dxa" w:w="1440"/>
            <w:tcMar>
              <w:top w:w="20" w:type="dxa"/>
              <w:bottom w:w="20" w:type="dxa"/>
              <w:left w:w="40" w:type="dxa"/>
              <w:right w:w="40" w:type="dxa"/>
            </w:tcMar>
          </w:tcPr>
          <w:p>
            <w:pPr>
              <w:jc w:val="right"/>
            </w:pPr>
            <w:r>
              <w:rPr>
                <w:sz w:val="20"/>
              </w:rPr>
              <w:t>25</w:t>
            </w:r>
          </w:p>
        </w:tc>
      </w:tr>
      <w:tr>
        <w:tc>
          <w:tcPr>
            <w:tcW w:type="dxa" w:w="7488"/>
            <w:tcMar>
              <w:top w:w="20" w:type="dxa"/>
              <w:bottom w:w="20" w:type="dxa"/>
              <w:left w:w="40" w:type="dxa"/>
              <w:right w:w="40" w:type="dxa"/>
            </w:tcMar>
          </w:tcPr>
          <w:p>
            <w:r>
              <w:rPr>
                <w:sz w:val="20"/>
              </w:rPr>
              <w:t xml:space="preserve">   5.2 Preliminary Benchmarking: zk-SNARK Baselines vs. Two-Tier MMR</w:t>
            </w:r>
          </w:p>
        </w:tc>
        <w:tc>
          <w:tcPr>
            <w:tcW w:type="dxa" w:w="1440"/>
            <w:tcMar>
              <w:top w:w="20" w:type="dxa"/>
              <w:bottom w:w="20" w:type="dxa"/>
              <w:left w:w="40" w:type="dxa"/>
              <w:right w:w="40" w:type="dxa"/>
            </w:tcMar>
          </w:tcPr>
          <w:p>
            <w:pPr>
              <w:jc w:val="right"/>
            </w:pPr>
            <w:r>
              <w:rPr>
                <w:sz w:val="20"/>
              </w:rPr>
              <w:t>26</w:t>
            </w:r>
          </w:p>
        </w:tc>
      </w:tr>
      <w:tr>
        <w:tc>
          <w:tcPr>
            <w:tcW w:type="dxa" w:w="7488"/>
            <w:tcMar>
              <w:top w:w="20" w:type="dxa"/>
              <w:bottom w:w="20" w:type="dxa"/>
              <w:left w:w="40" w:type="dxa"/>
              <w:right w:w="40" w:type="dxa"/>
            </w:tcMar>
          </w:tcPr>
          <w:p>
            <w:r>
              <w:rPr>
                <w:sz w:val="20"/>
              </w:rPr>
              <w:t xml:space="preserve">   5.3 Multi-Scenario Adversarial Evaluation (SCN-01 to SCN-04)</w:t>
            </w:r>
          </w:p>
        </w:tc>
        <w:tc>
          <w:tcPr>
            <w:tcW w:type="dxa" w:w="1440"/>
            <w:tcMar>
              <w:top w:w="20" w:type="dxa"/>
              <w:bottom w:w="20" w:type="dxa"/>
              <w:left w:w="40" w:type="dxa"/>
              <w:right w:w="40" w:type="dxa"/>
            </w:tcMar>
          </w:tcPr>
          <w:p>
            <w:pPr>
              <w:jc w:val="right"/>
            </w:pPr>
            <w:r>
              <w:rPr>
                <w:sz w:val="20"/>
              </w:rPr>
              <w:t>27</w:t>
            </w:r>
          </w:p>
        </w:tc>
      </w:tr>
      <w:tr>
        <w:tc>
          <w:tcPr>
            <w:tcW w:type="dxa" w:w="7488"/>
            <w:tcMar>
              <w:top w:w="20" w:type="dxa"/>
              <w:bottom w:w="20" w:type="dxa"/>
              <w:left w:w="40" w:type="dxa"/>
              <w:right w:w="40" w:type="dxa"/>
            </w:tcMar>
          </w:tcPr>
          <w:p>
            <w:r>
              <w:rPr>
                <w:sz w:val="20"/>
              </w:rPr>
              <w:t xml:space="preserve">   5.4 Discussion of Experimental Findings, Sustainability, Limitations, and Conclusion</w:t>
            </w:r>
          </w:p>
        </w:tc>
        <w:tc>
          <w:tcPr>
            <w:tcW w:type="dxa" w:w="1440"/>
            <w:tcMar>
              <w:top w:w="20" w:type="dxa"/>
              <w:bottom w:w="20" w:type="dxa"/>
              <w:left w:w="40" w:type="dxa"/>
              <w:right w:w="40" w:type="dxa"/>
            </w:tcMar>
          </w:tcPr>
          <w:p>
            <w:pPr>
              <w:jc w:val="right"/>
            </w:pPr>
            <w:r>
              <w:rPr>
                <w:sz w:val="20"/>
              </w:rPr>
              <w:t>28</w:t>
            </w:r>
          </w:p>
        </w:tc>
      </w:tr>
      <w:tr>
        <w:tc>
          <w:tcPr>
            <w:tcW w:type="dxa" w:w="7488"/>
            <w:tcMar>
              <w:top w:w="20" w:type="dxa"/>
              <w:bottom w:w="20" w:type="dxa"/>
              <w:left w:w="40" w:type="dxa"/>
              <w:right w:w="40" w:type="dxa"/>
            </w:tcMar>
          </w:tcPr>
          <w:p>
            <w:r>
              <w:rPr>
                <w:b/>
                <w:color w:val="1B365D"/>
                <w:sz w:val="20"/>
              </w:rPr>
              <w:t>References</w:t>
            </w:r>
          </w:p>
        </w:tc>
        <w:tc>
          <w:tcPr>
            <w:tcW w:type="dxa" w:w="1440"/>
            <w:tcMar>
              <w:top w:w="20" w:type="dxa"/>
              <w:bottom w:w="20" w:type="dxa"/>
              <w:left w:w="40" w:type="dxa"/>
              <w:right w:w="40" w:type="dxa"/>
            </w:tcMar>
          </w:tcPr>
          <w:p>
            <w:pPr>
              <w:jc w:val="right"/>
            </w:pPr>
            <w:r>
              <w:rPr>
                <w:b/>
                <w:sz w:val="20"/>
              </w:rPr>
              <w:t>29</w:t>
            </w:r>
          </w:p>
        </w:tc>
      </w:tr>
    </w:tbl>
    <w:p>
      <w:r>
        <w:br w:type="page"/>
      </w:r>
    </w:p>
    <w:p>
      <w:pPr>
        <w:pStyle w:val="Heading1"/>
        <w:keepNext/>
        <w:spacing w:before="360" w:after="120"/>
      </w:pPr>
      <w:r>
        <w:rPr>
          <w:rFonts w:ascii="Calibri" w:hAnsi="Calibri"/>
          <w:b/>
          <w:color w:val="1B365D"/>
          <w:sz w:val="32"/>
        </w:rPr>
        <w:t>CHAPTER 1: INTRODUCTION</w:t>
      </w:r>
    </w:p>
    <w:p>
      <w:pPr>
        <w:pStyle w:val="Heading2"/>
        <w:keepNext/>
        <w:spacing w:before="280" w:after="80"/>
      </w:pPr>
      <w:r>
        <w:rPr>
          <w:rFonts w:ascii="Calibri" w:hAnsi="Calibri"/>
          <w:b/>
          <w:color w:val="4B6B94"/>
          <w:sz w:val="26"/>
        </w:rPr>
        <w:t>1.1 BACKGROUND AND MOTIVATION</w:t>
      </w:r>
    </w:p>
    <w:p>
      <w:pPr>
        <w:spacing w:line="276" w:lineRule="auto" w:after="100"/>
      </w:pPr>
      <w:r>
        <w:rPr>
          <w:i w:val="0"/>
        </w:rPr>
        <w:t>Large Language Models (LLMs) have demonstrated transformative capabilities across natural language comprehension, automated code synthesis, clinical decision support, and complex multi-step reasoning. Despite remarkable linguistic fluency, standalone parametric LLMs remain fundamentally constrained by static pre-training knowledge cutoffs, an inability to inspect private corporate repositories, and a persistent tendency to fabricate plausible yet unverifiable statements—a phenomenon formally designated as factual hallucination [1]. In mission-critical enterprise domains such as legal contract analysis, financial auditing, and medical informatics, ungrounded generative outputs pose severe operational and regulatory risks.</w:t>
      </w:r>
    </w:p>
    <w:p>
      <w:pPr>
        <w:spacing w:line="276" w:lineRule="auto" w:after="100"/>
      </w:pPr>
      <w:r>
        <w:rPr>
          <w:i w:val="0"/>
        </w:rPr>
        <w:t>Retrieval-Augmented Generation (RAG) has emerged as the de facto architectural paradigm for overcoming parametric limitations by retrieving semantically relevant document segments from an external knowledge index and injecting those segments directly into the inference context window of the generative model [1, 2]. In a standard RAG workflow, unstructured enterprise documents are segmented into text chunks, converted into high-dimensional dense semantic vectors via neural embedding transformers, and stored within specialized vector databases. When a user submits a natural language query, the system embeds the query into the same metric space and executes an Approximate Nearest Neighbor (ANN) search to fetch the top-K most relevant chunks.</w:t>
      </w:r>
    </w:p>
    <w:p>
      <w:pPr>
        <w:spacing w:line="276" w:lineRule="auto" w:after="100"/>
      </w:pPr>
      <w:r>
        <w:rPr>
          <w:i w:val="0"/>
        </w:rPr>
        <w:t>Because maintaining multi-gigabyte or terabyte-scale high-dimensional vector indices and orchestrating sub-second ANN searches require substantial random-access memory (RAM) and parallel compute infrastructure [3, 4], organizations routinely offload the vector storage and retrieval tier to commercial Database-as-a-Service (DBaaS) and cloud vector providers such as Amazon Web Services (AWS), Google Cloud Platform, Pinecone, or Qdrant Cloud. While cloud outsourcing eliminates local hardware maintenance and provides elastic scalability, delegating proprietary enterprise knowledge bases and similarity search execution to third-party cloud environments introduces a critical trust and security dilemma [5].</w:t>
      </w:r>
    </w:p>
    <w:p>
      <w:pPr>
        <w:pStyle w:val="Heading2"/>
        <w:keepNext/>
        <w:spacing w:before="280" w:after="80"/>
      </w:pPr>
      <w:r>
        <w:rPr>
          <w:rFonts w:ascii="Calibri" w:hAnsi="Calibri"/>
          <w:b/>
          <w:color w:val="4B6B94"/>
          <w:sz w:val="26"/>
        </w:rPr>
        <w:t>1.2 PROBLEM STATEMENT</w:t>
      </w:r>
    </w:p>
    <w:p>
      <w:pPr>
        <w:spacing w:line="276" w:lineRule="auto" w:after="100"/>
      </w:pPr>
      <w:r>
        <w:rPr>
          <w:i w:val="0"/>
        </w:rPr>
        <w:t>Outsourcing enterprise vector indexing and similarity search to untrusted commercial cloud infrastructures exposes the retrieval pipeline to five interconnected security and performance vulnerabilities:</w:t>
      </w:r>
    </w:p>
    <w:p>
      <w:pPr>
        <w:pStyle w:val="ListBullet"/>
        <w:spacing w:line="276" w:lineRule="auto" w:after="60"/>
      </w:pPr>
      <w:r>
        <w:rPr>
          <w:b/>
          <w:color w:val="1B365D"/>
        </w:rPr>
        <w:t xml:space="preserve">1. Confidentiality Breakdown: </w:t>
      </w:r>
      <w:r>
        <w:t>Uploading plaintext document chunks or unmasked embeddings exposes confidential corporate IP. Embedding inversion attacks such as Vec2Text [6] prove dense vectors can be inverted back into near-exact cleartext sentences, while membership inference attacks like S2MIA [7] leak dataset membership.</w:t>
      </w:r>
    </w:p>
    <w:p>
      <w:pPr>
        <w:pStyle w:val="ListBullet"/>
        <w:spacing w:line="276" w:lineRule="auto" w:after="60"/>
      </w:pPr>
      <w:r>
        <w:rPr>
          <w:b/>
          <w:color w:val="1B365D"/>
        </w:rPr>
        <w:t xml:space="preserve">2. Untrusted Cloud Execution: </w:t>
      </w:r>
      <w:r>
        <w:t>Commercial cloud vector servers operate as black-box environments that may behave as honest-but-curious adversaries, suffer internal privilege escalation, or experience silent index corruption without client notification [5].</w:t>
      </w:r>
    </w:p>
    <w:p>
      <w:pPr>
        <w:pStyle w:val="ListBullet"/>
        <w:spacing w:line="276" w:lineRule="auto" w:after="60"/>
      </w:pPr>
      <w:r>
        <w:rPr>
          <w:b/>
          <w:color w:val="1B365D"/>
        </w:rPr>
        <w:t xml:space="preserve">3. Unverifiable Retrieval Integrity: </w:t>
      </w:r>
      <w:r>
        <w:t>Standard vector databases return candidate chunks without cryptographic proofs of origin. A compromised cloud or adversary can maliciously splice, modify, or forge retrieved context chunks without detection.</w:t>
      </w:r>
    </w:p>
    <w:p>
      <w:pPr>
        <w:pStyle w:val="ListBullet"/>
        <w:spacing w:line="276" w:lineRule="auto" w:after="60"/>
      </w:pPr>
      <w:r>
        <w:rPr>
          <w:b/>
          <w:color w:val="1B365D"/>
        </w:rPr>
        <w:t xml:space="preserve">4. Silent Cluster Omission Attacks: </w:t>
      </w:r>
      <w:r>
        <w:t>In partitioned vector indices (IVF clusters and HNSW graphs [3, 4]), a cost-cutting cloud provider can selectively skip probing computationally dense partitions to conserve compute, silently degrading retrieval recall.</w:t>
      </w:r>
    </w:p>
    <w:p>
      <w:pPr>
        <w:pStyle w:val="ListBullet"/>
        <w:spacing w:line="276" w:lineRule="auto" w:after="60"/>
      </w:pPr>
      <w:r>
        <w:rPr>
          <w:b/>
          <w:color w:val="1B365D"/>
        </w:rPr>
        <w:t xml:space="preserve">5. Prohibitive ZKP Latency: </w:t>
      </w:r>
      <w:r>
        <w:t>Existing academic verifiable vector search frameworks (VeriRAG [8], V3DB [9], ZKRAG [10]) rely on zk-SNARKs over Rank-1 Constraint Systems (R1CS) or FHE. Proving high-dimensional inner products incurs 10 to 60 seconds of latency and over 32 GB RAM overhead.</w:t>
      </w:r>
    </w:p>
    <w:p>
      <w:pPr>
        <w:spacing w:line="276" w:lineRule="auto" w:after="100"/>
      </w:pPr>
      <w:r>
        <w:rPr>
          <w:i/>
        </w:rPr>
        <w:t>Table 1.1 classifies these five primary threat vectors alongside the affected pipeline stages and operational impacts.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B365D"/>
            <w:tcMar>
              <w:top w:w="60" w:type="dxa"/>
              <w:bottom w:w="60" w:type="dxa"/>
              <w:left w:w="80" w:type="dxa"/>
              <w:right w:w="80" w:type="dxa"/>
            </w:tcMar>
          </w:tcPr>
          <w:p>
            <w:r>
              <w:rPr>
                <w:b/>
                <w:color w:val="FFFFFF"/>
                <w:sz w:val="18"/>
              </w:rPr>
              <w:t>Threat ID</w:t>
            </w:r>
          </w:p>
        </w:tc>
        <w:tc>
          <w:tcPr>
            <w:tcW w:type="dxa" w:w="2160"/>
            <w:shd w:fill="1B365D"/>
            <w:tcMar>
              <w:top w:w="60" w:type="dxa"/>
              <w:bottom w:w="60" w:type="dxa"/>
              <w:left w:w="80" w:type="dxa"/>
              <w:right w:w="80" w:type="dxa"/>
            </w:tcMar>
          </w:tcPr>
          <w:p>
            <w:r>
              <w:rPr>
                <w:b/>
                <w:color w:val="FFFFFF"/>
                <w:sz w:val="18"/>
              </w:rPr>
              <w:t>Vulnerability Category</w:t>
            </w:r>
          </w:p>
        </w:tc>
        <w:tc>
          <w:tcPr>
            <w:tcW w:type="dxa" w:w="1584"/>
            <w:shd w:fill="1B365D"/>
            <w:tcMar>
              <w:top w:w="60" w:type="dxa"/>
              <w:bottom w:w="60" w:type="dxa"/>
              <w:left w:w="80" w:type="dxa"/>
              <w:right w:w="80" w:type="dxa"/>
            </w:tcMar>
          </w:tcPr>
          <w:p>
            <w:r>
              <w:rPr>
                <w:b/>
                <w:color w:val="FFFFFF"/>
                <w:sz w:val="18"/>
              </w:rPr>
              <w:t>Target Stage</w:t>
            </w:r>
          </w:p>
        </w:tc>
        <w:tc>
          <w:tcPr>
            <w:tcW w:type="dxa" w:w="2304"/>
            <w:shd w:fill="1B365D"/>
            <w:tcMar>
              <w:top w:w="60" w:type="dxa"/>
              <w:bottom w:w="60" w:type="dxa"/>
              <w:left w:w="80" w:type="dxa"/>
              <w:right w:w="80" w:type="dxa"/>
            </w:tcMar>
          </w:tcPr>
          <w:p>
            <w:r>
              <w:rPr>
                <w:b/>
                <w:color w:val="FFFFFF"/>
                <w:sz w:val="18"/>
              </w:rPr>
              <w:t>Adversarial Mechanism</w:t>
            </w:r>
          </w:p>
        </w:tc>
        <w:tc>
          <w:tcPr>
            <w:tcW w:type="dxa" w:w="2160"/>
            <w:shd w:fill="1B365D"/>
            <w:tcMar>
              <w:top w:w="60" w:type="dxa"/>
              <w:bottom w:w="60" w:type="dxa"/>
              <w:left w:w="80" w:type="dxa"/>
              <w:right w:w="80" w:type="dxa"/>
            </w:tcMar>
          </w:tcPr>
          <w:p>
            <w:r>
              <w:rPr>
                <w:b/>
                <w:color w:val="FFFFFF"/>
                <w:sz w:val="18"/>
              </w:rPr>
              <w:t>Operational Impact</w:t>
            </w:r>
          </w:p>
        </w:tc>
      </w:tr>
      <w:tr>
        <w:tc>
          <w:tcPr>
            <w:tcW w:type="dxa" w:w="1152"/>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TV-01</w:t>
            </w:r>
          </w:p>
        </w:tc>
        <w:tc>
          <w:tcPr>
            <w:tcW w:type="dxa" w:w="21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Embedding Inversion &amp; Eavesdropping</w:t>
            </w:r>
          </w:p>
        </w:tc>
        <w:tc>
          <w:tcPr>
            <w:tcW w:type="dxa" w:w="1584"/>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Ingestion &amp; Query</w:t>
            </w:r>
          </w:p>
        </w:tc>
        <w:tc>
          <w:tcPr>
            <w:tcW w:type="dxa" w:w="2304"/>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Vec2Text token inversion on unmasked ℝᵈ vectors [6]</w:t>
            </w:r>
          </w:p>
        </w:tc>
        <w:tc>
          <w:tcPr>
            <w:tcW w:type="dxa" w:w="21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Exposure of confidential plaintext and PII</w:t>
            </w:r>
          </w:p>
        </w:tc>
      </w:tr>
      <w:tr>
        <w:tc>
          <w:tcPr>
            <w:tcW w:type="dxa" w:w="1152"/>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TV-02</w:t>
            </w:r>
          </w:p>
        </w:tc>
        <w:tc>
          <w:tcPr>
            <w:tcW w:type="dxa" w:w="21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Chunk Forgery &amp; Splicing</w:t>
            </w:r>
          </w:p>
        </w:tc>
        <w:tc>
          <w:tcPr>
            <w:tcW w:type="dxa" w:w="1584"/>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Cloud Storage &amp; Return</w:t>
            </w:r>
          </w:p>
        </w:tc>
        <w:tc>
          <w:tcPr>
            <w:tcW w:type="dxa" w:w="2304"/>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Bit-flipping ciphertexts or swapping cross-doc chunks</w:t>
            </w:r>
          </w:p>
        </w:tc>
        <w:tc>
          <w:tcPr>
            <w:tcW w:type="dxa" w:w="21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Context poisoning and manipulation of LLM outputs</w:t>
            </w:r>
          </w:p>
        </w:tc>
      </w:tr>
      <w:tr>
        <w:tc>
          <w:tcPr>
            <w:tcW w:type="dxa" w:w="1152"/>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TV-03</w:t>
            </w:r>
          </w:p>
        </w:tc>
        <w:tc>
          <w:tcPr>
            <w:tcW w:type="dxa" w:w="21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Silent Cluster Omission</w:t>
            </w:r>
          </w:p>
        </w:tc>
        <w:tc>
          <w:tcPr>
            <w:tcW w:type="dxa" w:w="1584"/>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Multi-Probe ANN</w:t>
            </w:r>
          </w:p>
        </w:tc>
        <w:tc>
          <w:tcPr>
            <w:tcW w:type="dxa" w:w="2304"/>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Skipping mandatory adjacent Voronoi IVF cells during search</w:t>
            </w:r>
          </w:p>
        </w:tc>
        <w:tc>
          <w:tcPr>
            <w:tcW w:type="dxa" w:w="21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Degraded Recall@K and ungrounded hallucinations</w:t>
            </w:r>
          </w:p>
        </w:tc>
      </w:tr>
      <w:tr>
        <w:tc>
          <w:tcPr>
            <w:tcW w:type="dxa" w:w="1152"/>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TV-04</w:t>
            </w:r>
          </w:p>
        </w:tc>
        <w:tc>
          <w:tcPr>
            <w:tcW w:type="dxa" w:w="21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Cross-Tenant Access</w:t>
            </w:r>
          </w:p>
        </w:tc>
        <w:tc>
          <w:tcPr>
            <w:tcW w:type="dxa" w:w="1584"/>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Multi-Tenant API</w:t>
            </w:r>
          </w:p>
        </w:tc>
        <w:tc>
          <w:tcPr>
            <w:tcW w:type="dxa" w:w="2304"/>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Querying restricted collections with unauthorized tokens</w:t>
            </w:r>
          </w:p>
        </w:tc>
        <w:tc>
          <w:tcPr>
            <w:tcW w:type="dxa" w:w="21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Breach of organizational isolation and compliance</w:t>
            </w:r>
          </w:p>
        </w:tc>
      </w:tr>
      <w:tr>
        <w:tc>
          <w:tcPr>
            <w:tcW w:type="dxa" w:w="1152"/>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TV-05</w:t>
            </w:r>
          </w:p>
        </w:tc>
        <w:tc>
          <w:tcPr>
            <w:tcW w:type="dxa" w:w="21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Proving Bottleneck</w:t>
            </w:r>
          </w:p>
        </w:tc>
        <w:tc>
          <w:tcPr>
            <w:tcW w:type="dxa" w:w="1584"/>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Verifiable Retrieval</w:t>
            </w:r>
          </w:p>
        </w:tc>
        <w:tc>
          <w:tcPr>
            <w:tcW w:type="dxa" w:w="2304"/>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R1CS arithmetic circuit evaluation over d ≥ 384 dimensions</w:t>
            </w:r>
          </w:p>
        </w:tc>
        <w:tc>
          <w:tcPr>
            <w:tcW w:type="dxa" w:w="21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15–40s query latency and &gt;32 GB RAM exhaustion</w:t>
            </w:r>
          </w:p>
        </w:tc>
      </w:tr>
    </w:tbl>
    <w:p>
      <w:pPr>
        <w:spacing w:after="160"/>
      </w:pPr>
    </w:p>
    <w:p>
      <w:pPr>
        <w:pStyle w:val="Heading2"/>
        <w:keepNext/>
        <w:spacing w:before="280" w:after="80"/>
      </w:pPr>
      <w:r>
        <w:rPr>
          <w:rFonts w:ascii="Calibri" w:hAnsi="Calibri"/>
          <w:b/>
          <w:color w:val="4B6B94"/>
          <w:sz w:val="26"/>
        </w:rPr>
        <w:t>1.3 OBJECTIVES</w:t>
      </w:r>
    </w:p>
    <w:p>
      <w:pPr>
        <w:pStyle w:val="ListBullet"/>
        <w:spacing w:line="276" w:lineRule="auto" w:after="60"/>
      </w:pPr>
      <w:r>
        <w:rPr>
          <w:b/>
          <w:color w:val="1B365D"/>
        </w:rPr>
        <w:t xml:space="preserve">Objective 1: </w:t>
      </w:r>
      <w:r>
        <w:t>Establish an asymmetric, ZKP-free trust boundary isolating all cryptographic keys strictly within the client enclave.</w:t>
      </w:r>
    </w:p>
    <w:p>
      <w:pPr>
        <w:pStyle w:val="ListBullet"/>
        <w:spacing w:line="276" w:lineRule="auto" w:after="60"/>
      </w:pPr>
      <w:r>
        <w:rPr>
          <w:b/>
          <w:color w:val="1B365D"/>
        </w:rPr>
        <w:t xml:space="preserve">Objective 2: </w:t>
      </w:r>
      <w:r>
        <w:t>Formulate an isometric orthogonal vector masking transformation (QR decomposition + permutation π) preserving exact cosine similarities while neutralizing Vec2Text inversion.</w:t>
      </w:r>
    </w:p>
    <w:p>
      <w:pPr>
        <w:pStyle w:val="ListBullet"/>
        <w:spacing w:line="276" w:lineRule="auto" w:after="60"/>
      </w:pPr>
      <w:r>
        <w:rPr>
          <w:b/>
          <w:color w:val="1B365D"/>
        </w:rPr>
        <w:t xml:space="preserve">Objective 3: </w:t>
      </w:r>
      <w:r>
        <w:t>Construct an append-only Two-Tier Merkle Mountain Range (MMR) auditing structure providing logarithmic O(log N) inclusion proofs.</w:t>
      </w:r>
    </w:p>
    <w:p>
      <w:pPr>
        <w:pStyle w:val="ListBullet"/>
        <w:spacing w:line="276" w:lineRule="auto" w:after="60"/>
      </w:pPr>
      <w:r>
        <w:rPr>
          <w:b/>
          <w:color w:val="1B365D"/>
        </w:rPr>
        <w:t xml:space="preserve">Objective 4: </w:t>
      </w:r>
      <w:r>
        <w:t>Develop Voronoi Dynamic Boundary Validation (DBV) with 1.5 × r_closest margin expansion to detect lazy-cloud cluster omission.</w:t>
      </w:r>
    </w:p>
    <w:p>
      <w:pPr>
        <w:pStyle w:val="ListBullet"/>
        <w:spacing w:line="276" w:lineRule="auto" w:after="60"/>
      </w:pPr>
      <w:r>
        <w:rPr>
          <w:b/>
          <w:color w:val="1B365D"/>
        </w:rPr>
        <w:t xml:space="preserve">Objective 5: </w:t>
      </w:r>
      <w:r>
        <w:t>Integrate a deterministic five-gate client verifier (RBAC, MMR, DBV, AEAD, CRAG/Self-RAG) operating in sub-30ms latency.</w:t>
      </w:r>
    </w:p>
    <w:p>
      <w:pPr>
        <w:pStyle w:val="Heading2"/>
        <w:keepNext/>
        <w:spacing w:before="280" w:after="80"/>
      </w:pPr>
      <w:r>
        <w:rPr>
          <w:rFonts w:ascii="Calibri" w:hAnsi="Calibri"/>
          <w:b/>
          <w:color w:val="4B6B94"/>
          <w:sz w:val="26"/>
        </w:rPr>
        <w:t>1.4 PROPOSED SYSTEM OVERVIEW</w:t>
      </w:r>
    </w:p>
    <w:p>
      <w:pPr>
        <w:spacing w:line="276" w:lineRule="auto" w:after="100"/>
      </w:pPr>
      <w:r>
        <w:rPr>
          <w:i w:val="0"/>
        </w:rPr>
        <w:t>The proposed framework decouples RAG operations into an offline document ingestion phase (Phase A) and an online query verification phase (Phase B), orchestrated across six modular pipelines: Module 1 (Local Ingestion &amp; Chunking), Module 2 (Privacy Engine), Module 3 (Two-Tier MMR Builder), Module 4 (Cloud Search Tier), Module 5 (Dynamic Boundary Validation), and Module 6 (Five-Gate Client Verifier).</w:t>
      </w:r>
    </w:p>
    <w:p>
      <w:pPr>
        <w:pStyle w:val="Heading2"/>
        <w:keepNext/>
        <w:spacing w:before="280" w:after="80"/>
      </w:pPr>
      <w:r>
        <w:rPr>
          <w:rFonts w:ascii="Calibri" w:hAnsi="Calibri"/>
          <w:b/>
          <w:color w:val="4B6B94"/>
          <w:sz w:val="26"/>
        </w:rPr>
        <w:t>1.5 SCOPE OF THE PROJECT</w:t>
      </w:r>
    </w:p>
    <w:p>
      <w:pPr>
        <w:spacing w:line="276" w:lineRule="auto" w:after="100"/>
      </w:pPr>
      <w:r>
        <w:rPr>
          <w:i w:val="0"/>
        </w:rPr>
        <w:t>The framework is implemented in Python 3.11 with FastAPI, PyTorch, NumPy, scikit-learn, cryptography, Qdrant, and FAISS. Embeddings are standardized on 384 dimensions (all-MiniLM-L6-v2 and BAAI/bge-small-en-v1.5).</w:t>
      </w:r>
    </w:p>
    <w:p>
      <w:pPr>
        <w:pStyle w:val="Heading1"/>
        <w:keepNext/>
        <w:spacing w:before="360" w:after="120"/>
      </w:pPr>
      <w:r>
        <w:rPr>
          <w:rFonts w:ascii="Calibri" w:hAnsi="Calibri"/>
          <w:b/>
          <w:color w:val="1B365D"/>
          <w:sz w:val="32"/>
        </w:rPr>
        <w:t>CHAPTER 2: TRADITIONAL METHODS</w:t>
      </w:r>
    </w:p>
    <w:p>
      <w:pPr>
        <w:pStyle w:val="Heading2"/>
        <w:keepNext/>
        <w:spacing w:before="280" w:after="80"/>
      </w:pPr>
      <w:r>
        <w:rPr>
          <w:rFonts w:ascii="Calibri" w:hAnsi="Calibri"/>
          <w:b/>
          <w:color w:val="4B6B94"/>
          <w:sz w:val="26"/>
        </w:rPr>
        <w:t>2.1 CONVENTIONAL CLOUD VECTOR RETRIEVAL AND CRYPTOGRAPHIC SCHEMES</w:t>
      </w:r>
    </w:p>
    <w:p>
      <w:pPr>
        <w:spacing w:line="276" w:lineRule="auto" w:after="100"/>
      </w:pPr>
      <w:r>
        <w:rPr>
          <w:i w:val="0"/>
        </w:rPr>
        <w:t>Modern vector databases rely on space-partitioning (IVF) and graph traversal (HNSW) to achieve sub-linear ANN search [3, 4]. Historically, four cryptographic families have been applied to outsourced search: Property-Preserving Encryption (PPE), Fully Homomorphic Encryption (FHE), Hardware TEEs, and Zero-Knowledge Proofs (zk-SNARKs).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60" w:type="dxa"/>
              <w:bottom w:w="60" w:type="dxa"/>
              <w:left w:w="60" w:type="dxa"/>
              <w:right w:w="60" w:type="dxa"/>
            </w:tcMar>
          </w:tcPr>
          <w:p>
            <w:r>
              <w:rPr>
                <w:b/>
                <w:color w:val="FFFFFF"/>
                <w:sz w:val="17"/>
              </w:rPr>
              <w:t>Paradigm</w:t>
            </w:r>
          </w:p>
        </w:tc>
        <w:tc>
          <w:tcPr>
            <w:tcW w:type="dxa" w:w="1560"/>
            <w:shd w:fill="1B365D"/>
            <w:tcMar>
              <w:top w:w="60" w:type="dxa"/>
              <w:bottom w:w="60" w:type="dxa"/>
              <w:left w:w="60" w:type="dxa"/>
              <w:right w:w="60" w:type="dxa"/>
            </w:tcMar>
          </w:tcPr>
          <w:p>
            <w:r>
              <w:rPr>
                <w:b/>
                <w:color w:val="FFFFFF"/>
                <w:sz w:val="17"/>
              </w:rPr>
              <w:t>Confidentiality</w:t>
            </w:r>
          </w:p>
        </w:tc>
        <w:tc>
          <w:tcPr>
            <w:tcW w:type="dxa" w:w="1560"/>
            <w:shd w:fill="1B365D"/>
            <w:tcMar>
              <w:top w:w="60" w:type="dxa"/>
              <w:bottom w:w="60" w:type="dxa"/>
              <w:left w:w="60" w:type="dxa"/>
              <w:right w:w="60" w:type="dxa"/>
            </w:tcMar>
          </w:tcPr>
          <w:p>
            <w:r>
              <w:rPr>
                <w:b/>
                <w:color w:val="FFFFFF"/>
                <w:sz w:val="17"/>
              </w:rPr>
              <w:t>Integrity Proof</w:t>
            </w:r>
          </w:p>
        </w:tc>
        <w:tc>
          <w:tcPr>
            <w:tcW w:type="dxa" w:w="1560"/>
            <w:shd w:fill="1B365D"/>
            <w:tcMar>
              <w:top w:w="60" w:type="dxa"/>
              <w:bottom w:w="60" w:type="dxa"/>
              <w:left w:w="60" w:type="dxa"/>
              <w:right w:w="60" w:type="dxa"/>
            </w:tcMar>
          </w:tcPr>
          <w:p>
            <w:r>
              <w:rPr>
                <w:b/>
                <w:color w:val="FFFFFF"/>
                <w:sz w:val="17"/>
              </w:rPr>
              <w:t>Completeness Audit</w:t>
            </w:r>
          </w:p>
        </w:tc>
        <w:tc>
          <w:tcPr>
            <w:tcW w:type="dxa" w:w="1560"/>
            <w:shd w:fill="1B365D"/>
            <w:tcMar>
              <w:top w:w="60" w:type="dxa"/>
              <w:bottom w:w="60" w:type="dxa"/>
              <w:left w:w="60" w:type="dxa"/>
              <w:right w:w="60" w:type="dxa"/>
            </w:tcMar>
          </w:tcPr>
          <w:p>
            <w:r>
              <w:rPr>
                <w:b/>
                <w:color w:val="FFFFFF"/>
                <w:sz w:val="17"/>
              </w:rPr>
              <w:t>Latency (d=384)</w:t>
            </w:r>
          </w:p>
        </w:tc>
        <w:tc>
          <w:tcPr>
            <w:tcW w:type="dxa" w:w="1560"/>
            <w:shd w:fill="1B365D"/>
            <w:tcMar>
              <w:top w:w="60" w:type="dxa"/>
              <w:bottom w:w="60" w:type="dxa"/>
              <w:left w:w="60" w:type="dxa"/>
              <w:right w:w="60" w:type="dxa"/>
            </w:tcMar>
          </w:tcPr>
          <w:p>
            <w:r>
              <w:rPr>
                <w:b/>
                <w:color w:val="FFFFFF"/>
                <w:sz w:val="17"/>
              </w:rPr>
              <w:t>Server RAM</w:t>
            </w:r>
          </w:p>
        </w:tc>
      </w:tr>
      <w:tr>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Plaintext Cloud ANN [3, 4]</w:t>
            </w:r>
          </w:p>
        </w:tc>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None (Vulnerable)</w:t>
            </w:r>
          </w:p>
        </w:tc>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None</w:t>
            </w:r>
          </w:p>
        </w:tc>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None</w:t>
            </w:r>
          </w:p>
        </w:tc>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&lt; 5 ms</w:t>
            </w:r>
          </w:p>
        </w:tc>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Baseline (1x)</w:t>
            </w:r>
          </w:p>
        </w:tc>
      </w:tr>
      <w:tr>
        <w:tc>
          <w:tcPr>
            <w:tcW w:type="dxa" w:w="15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FHE (CKKS) [18]</w:t>
            </w:r>
          </w:p>
        </w:tc>
        <w:tc>
          <w:tcPr>
            <w:tcW w:type="dxa" w:w="15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Cryptographic (RLWE)</w:t>
            </w:r>
          </w:p>
        </w:tc>
        <w:tc>
          <w:tcPr>
            <w:tcW w:type="dxa" w:w="15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None</w:t>
            </w:r>
          </w:p>
        </w:tc>
        <w:tc>
          <w:tcPr>
            <w:tcW w:type="dxa" w:w="15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None</w:t>
            </w:r>
          </w:p>
        </w:tc>
        <w:tc>
          <w:tcPr>
            <w:tcW w:type="dxa" w:w="15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10,000–100,000 ms</w:t>
            </w:r>
          </w:p>
        </w:tc>
        <w:tc>
          <w:tcPr>
            <w:tcW w:type="dxa" w:w="15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High (20x–50x)</w:t>
            </w:r>
          </w:p>
        </w:tc>
      </w:tr>
      <w:tr>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Hardware Enclaves (SGX) [19]</w:t>
            </w:r>
          </w:p>
        </w:tc>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Hardware-isolated</w:t>
            </w:r>
          </w:p>
        </w:tc>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Attestation only</w:t>
            </w:r>
          </w:p>
        </w:tc>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Implicit</w:t>
            </w:r>
          </w:p>
        </w:tc>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10–50 ms</w:t>
            </w:r>
          </w:p>
        </w:tc>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EPC Restricted</w:t>
            </w:r>
          </w:p>
        </w:tc>
      </w:tr>
      <w:tr>
        <w:tc>
          <w:tcPr>
            <w:tcW w:type="dxa" w:w="15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Arithmetic zk-SNARKs [8, 9, 10]</w:t>
            </w:r>
          </w:p>
        </w:tc>
        <w:tc>
          <w:tcPr>
            <w:tcW w:type="dxa" w:w="15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Optional</w:t>
            </w:r>
          </w:p>
        </w:tc>
        <w:tc>
          <w:tcPr>
            <w:tcW w:type="dxa" w:w="15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R1CS Circuit Proof</w:t>
            </w:r>
          </w:p>
        </w:tc>
        <w:tc>
          <w:tcPr>
            <w:tcW w:type="dxa" w:w="15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Partial</w:t>
            </w:r>
          </w:p>
        </w:tc>
        <w:tc>
          <w:tcPr>
            <w:tcW w:type="dxa" w:w="15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15,000–40,000 ms</w:t>
            </w:r>
          </w:p>
        </w:tc>
        <w:tc>
          <w:tcPr>
            <w:tcW w:type="dxa" w:w="15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Extreme (&gt;32 GB)</w:t>
            </w:r>
          </w:p>
        </w:tc>
      </w:tr>
      <w:tr>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Proposed Asymmetric Verifier</w:t>
            </w:r>
          </w:p>
        </w:tc>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Isometric (Q, π) + AEAD</w:t>
            </w:r>
          </w:p>
        </w:tc>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Two-Tier MMR Proof</w:t>
            </w:r>
          </w:p>
        </w:tc>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Voronoi DBV (1.5×)</w:t>
            </w:r>
          </w:p>
        </w:tc>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2.15 ms (&lt;30 ms)</w:t>
            </w:r>
          </w:p>
        </w:tc>
        <w:tc>
          <w:tcPr>
            <w:tcW w:type="dxa" w:w="15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&lt; 250 MB</w:t>
            </w:r>
          </w:p>
        </w:tc>
      </w:tr>
    </w:tbl>
    <w:p>
      <w:pPr>
        <w:spacing w:after="160"/>
      </w:pPr>
    </w:p>
    <w:p>
      <w:pPr>
        <w:pStyle w:val="Heading2"/>
        <w:keepNext/>
        <w:spacing w:before="280" w:after="80"/>
      </w:pPr>
      <w:r>
        <w:rPr>
          <w:rFonts w:ascii="Calibri" w:hAnsi="Calibri"/>
          <w:b/>
          <w:color w:val="4B6B94"/>
          <w:sz w:val="26"/>
        </w:rPr>
        <w:t>2.2 EARLIER PRIVACY-PRESERVING AND VERIFIABLE RAG APPROACHES</w:t>
      </w:r>
    </w:p>
    <w:p>
      <w:pPr>
        <w:spacing w:line="276" w:lineRule="auto" w:after="100"/>
      </w:pPr>
      <w:r>
        <w:rPr>
          <w:i w:val="0"/>
        </w:rPr>
        <w:t>Recent literature has investigated distance-preserving encryption (ppRAG [22]), membership inference defense (S2MIA [7], DP-RAG [23]), and verifiable top-K retrieval (VeriRAG [8], V3DB [9], zkRAG [10], ZKSQL [25], ZK-Graph [26]).</w:t>
      </w:r>
    </w:p>
    <w:tbl>
      <w:tblPr>
        <w:tblW w:type="auto" w:w="0"/>
        <w:jc w:val="center"/>
        <w:tblLook w:firstColumn="1" w:firstRow="1" w:lastColumn="0" w:lastRow="0" w:noHBand="0" w:noVBand="1" w:val="04A0"/>
      </w:tblPr>
      <w:tblGrid>
        <w:gridCol w:w="2340"/>
        <w:gridCol w:w="2340"/>
        <w:gridCol w:w="2340"/>
        <w:gridCol w:w="2340"/>
      </w:tblGrid>
      <w:tr>
        <w:tc>
          <w:tcPr>
            <w:tcW w:type="dxa" w:w="2160"/>
            <w:shd w:fill="1B365D"/>
            <w:tcMar>
              <w:top w:w="60" w:type="dxa"/>
              <w:bottom w:w="60" w:type="dxa"/>
              <w:left w:w="60" w:type="dxa"/>
              <w:right w:w="60" w:type="dxa"/>
            </w:tcMar>
          </w:tcPr>
          <w:p>
            <w:r>
              <w:rPr>
                <w:b/>
                <w:color w:val="FFFFFF"/>
                <w:sz w:val="17"/>
              </w:rPr>
              <w:t>Author(s) &amp; Year</w:t>
            </w:r>
          </w:p>
        </w:tc>
        <w:tc>
          <w:tcPr>
            <w:tcW w:type="dxa" w:w="1296"/>
            <w:shd w:fill="1B365D"/>
            <w:tcMar>
              <w:top w:w="60" w:type="dxa"/>
              <w:bottom w:w="60" w:type="dxa"/>
              <w:left w:w="60" w:type="dxa"/>
              <w:right w:w="60" w:type="dxa"/>
            </w:tcMar>
          </w:tcPr>
          <w:p>
            <w:r>
              <w:rPr>
                <w:b/>
                <w:color w:val="FFFFFF"/>
                <w:sz w:val="17"/>
              </w:rPr>
              <w:t>Framework</w:t>
            </w:r>
          </w:p>
        </w:tc>
        <w:tc>
          <w:tcPr>
            <w:tcW w:type="dxa" w:w="3168"/>
            <w:shd w:fill="1B365D"/>
            <w:tcMar>
              <w:top w:w="60" w:type="dxa"/>
              <w:bottom w:w="60" w:type="dxa"/>
              <w:left w:w="60" w:type="dxa"/>
              <w:right w:w="60" w:type="dxa"/>
            </w:tcMar>
          </w:tcPr>
          <w:p>
            <w:r>
              <w:rPr>
                <w:b/>
                <w:color w:val="FFFFFF"/>
                <w:sz w:val="17"/>
              </w:rPr>
              <w:t>Core Methodology</w:t>
            </w:r>
          </w:p>
        </w:tc>
        <w:tc>
          <w:tcPr>
            <w:tcW w:type="dxa" w:w="2736"/>
            <w:shd w:fill="1B365D"/>
            <w:tcMar>
              <w:top w:w="60" w:type="dxa"/>
              <w:bottom w:w="60" w:type="dxa"/>
              <w:left w:w="60" w:type="dxa"/>
              <w:right w:w="60" w:type="dxa"/>
            </w:tcMar>
          </w:tcPr>
          <w:p>
            <w:r>
              <w:rPr>
                <w:b/>
                <w:color w:val="FFFFFF"/>
                <w:sz w:val="17"/>
              </w:rPr>
              <w:t>Operational Drawbacks</w:t>
            </w:r>
          </w:p>
        </w:tc>
      </w:tr>
      <w:tr>
        <w:tc>
          <w:tcPr>
            <w:tcW w:type="dxa" w:w="21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X. Li et al. (2023) [25]</w:t>
            </w:r>
          </w:p>
        </w:tc>
        <w:tc>
          <w:tcPr>
            <w:tcW w:type="dxa" w:w="1296"/>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ZKSQL</w:t>
            </w:r>
          </w:p>
        </w:tc>
        <w:tc>
          <w:tcPr>
            <w:tcW w:type="dxa" w:w="3168"/>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Zero-knowledge polynomial commitments for relational SQL queries.</w:t>
            </w:r>
          </w:p>
        </w:tc>
        <w:tc>
          <w:tcPr>
            <w:tcW w:type="dxa" w:w="2736"/>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Limited to relational tables; cannot scale to high-dimensional metric ANN search.</w:t>
            </w:r>
          </w:p>
        </w:tc>
      </w:tr>
      <w:tr>
        <w:tc>
          <w:tcPr>
            <w:tcW w:type="dxa" w:w="21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H. Ye et al. (2026) [22]</w:t>
            </w:r>
          </w:p>
        </w:tc>
        <w:tc>
          <w:tcPr>
            <w:tcW w:type="dxa" w:w="1296"/>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ppRAG</w:t>
            </w:r>
          </w:p>
        </w:tc>
        <w:tc>
          <w:tcPr>
            <w:tcW w:type="dxa" w:w="3168"/>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Distance-preserving matrix encryption for cloud ANN search.</w:t>
            </w:r>
          </w:p>
        </w:tc>
        <w:tc>
          <w:tcPr>
            <w:tcW w:type="dxa" w:w="2736"/>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Secures confidentiality only; lacks retrieval integrity and boundary completeness checks.</w:t>
            </w:r>
          </w:p>
        </w:tc>
      </w:tr>
      <w:tr>
        <w:tc>
          <w:tcPr>
            <w:tcW w:type="dxa" w:w="21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Y. Li et al. (2025) [7]</w:t>
            </w:r>
          </w:p>
        </w:tc>
        <w:tc>
          <w:tcPr>
            <w:tcW w:type="dxa" w:w="1296"/>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S2MIA</w:t>
            </w:r>
          </w:p>
        </w:tc>
        <w:tc>
          <w:tcPr>
            <w:tcW w:type="dxa" w:w="3168"/>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Black-box membership inference via output semantic similarity.</w:t>
            </w:r>
          </w:p>
        </w:tc>
        <w:tc>
          <w:tcPr>
            <w:tcW w:type="dxa" w:w="2736"/>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Attack analysis only; does not provide a defensive retrieval architecture.</w:t>
            </w:r>
          </w:p>
        </w:tc>
      </w:tr>
      <w:tr>
        <w:tc>
          <w:tcPr>
            <w:tcW w:type="dxa" w:w="21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N. Grislain (2024) [23]</w:t>
            </w:r>
          </w:p>
        </w:tc>
        <w:tc>
          <w:tcPr>
            <w:tcW w:type="dxa" w:w="1296"/>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DP-RAG</w:t>
            </w:r>
          </w:p>
        </w:tc>
        <w:tc>
          <w:tcPr>
            <w:tcW w:type="dxa" w:w="3168"/>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Differential privacy noise injection into generation logits.</w:t>
            </w:r>
          </w:p>
        </w:tc>
        <w:tc>
          <w:tcPr>
            <w:tcW w:type="dxa" w:w="2736"/>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Degrades generative accuracy; privacy budget exhausts under repeated queries.</w:t>
            </w:r>
          </w:p>
        </w:tc>
      </w:tr>
      <w:tr>
        <w:tc>
          <w:tcPr>
            <w:tcW w:type="dxa" w:w="21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C. Lin et al. (2026) [8]</w:t>
            </w:r>
          </w:p>
        </w:tc>
        <w:tc>
          <w:tcPr>
            <w:tcW w:type="dxa" w:w="1296"/>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VeriRAG</w:t>
            </w:r>
          </w:p>
        </w:tc>
        <w:tc>
          <w:tcPr>
            <w:tcW w:type="dxa" w:w="3168"/>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Algorithm-specific ZK arguments for top-K ANN verification.</w:t>
            </w:r>
          </w:p>
        </w:tc>
        <w:tc>
          <w:tcPr>
            <w:tcW w:type="dxa" w:w="2736"/>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Proving latency exceeds 15 seconds per query; high arithmetic circuit overhead.</w:t>
            </w:r>
          </w:p>
        </w:tc>
      </w:tr>
      <w:tr>
        <w:tc>
          <w:tcPr>
            <w:tcW w:type="dxa" w:w="216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Z. Qiu et al. (2026) [9]</w:t>
            </w:r>
          </w:p>
        </w:tc>
        <w:tc>
          <w:tcPr>
            <w:tcW w:type="dxa" w:w="1296"/>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V3DB</w:t>
            </w:r>
          </w:p>
        </w:tc>
        <w:tc>
          <w:tcPr>
            <w:tcW w:type="dxa" w:w="3168"/>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Audit-on-demand zk-SNARKs for committed IVF-PQ snapshots.</w:t>
            </w:r>
          </w:p>
        </w:tc>
        <w:tc>
          <w:tcPr>
            <w:tcW w:type="dxa" w:w="2736"/>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Heavy snapshot management overhead; proving times exceed 20s for d ≥ 384.</w:t>
            </w:r>
          </w:p>
        </w:tc>
      </w:tr>
      <w:tr>
        <w:tc>
          <w:tcPr>
            <w:tcW w:type="dxa" w:w="216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Y. Jiang et al. (2026) [10]</w:t>
            </w:r>
          </w:p>
        </w:tc>
        <w:tc>
          <w:tcPr>
            <w:tcW w:type="dxa" w:w="1296"/>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zkRAG</w:t>
            </w:r>
          </w:p>
        </w:tc>
        <w:tc>
          <w:tcPr>
            <w:tcW w:type="dxa" w:w="3168"/>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Succinct ZK arguments for dense inner products and HNSW search.</w:t>
            </w:r>
          </w:p>
        </w:tc>
        <w:tc>
          <w:tcPr>
            <w:tcW w:type="dxa" w:w="2736"/>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6"/>
              </w:rPr>
              <w:t>Prover RAM exceeds 32 GB; proof compilation requires 25–40 seconds per query.</w:t>
            </w:r>
          </w:p>
        </w:tc>
      </w:tr>
    </w:tbl>
    <w:p>
      <w:pPr>
        <w:spacing w:after="160"/>
      </w:pPr>
    </w:p>
    <w:p>
      <w:pPr>
        <w:pStyle w:val="Heading2"/>
        <w:keepNext/>
        <w:spacing w:before="280" w:after="80"/>
      </w:pPr>
      <w:r>
        <w:rPr>
          <w:rFonts w:ascii="Calibri" w:hAnsi="Calibri"/>
          <w:b/>
          <w:color w:val="4B6B94"/>
          <w:sz w:val="26"/>
        </w:rPr>
        <w:t>2.3 FOUNDATIONAL MATHEMATICAL AND CRYPTOGRAPHIC PRELIMINARIES</w:t>
      </w:r>
    </w:p>
    <w:p>
      <w:pPr>
        <w:pStyle w:val="ListBullet"/>
        <w:spacing w:line="276" w:lineRule="auto" w:after="60"/>
      </w:pPr>
      <w:r>
        <w:rPr>
          <w:b/>
          <w:color w:val="1B365D"/>
        </w:rPr>
        <w:t xml:space="preserve">Merkle Mountain Ranges (MMR): </w:t>
      </w:r>
      <w:r>
        <w:t>Append-only Merkle trees supporting O(1) amortized leaf insertion and O(log N) inclusion proofs via peak bagging.</w:t>
      </w:r>
    </w:p>
    <w:p>
      <w:pPr>
        <w:pStyle w:val="ListBullet"/>
        <w:spacing w:line="276" w:lineRule="auto" w:after="60"/>
      </w:pPr>
      <w:r>
        <w:rPr>
          <w:b/>
          <w:color w:val="1B365D"/>
        </w:rPr>
        <w:t xml:space="preserve">Voronoi Tessellation &amp; IVF: </w:t>
      </w:r>
      <w:r>
        <w:t>Partitions metric space ℝᵈ into C Voronoi cells Ψ_i governed by coarse quantizer centroids μ_i trained via K-Means.</w:t>
      </w:r>
    </w:p>
    <w:p>
      <w:pPr>
        <w:pStyle w:val="ListBullet"/>
        <w:spacing w:line="276" w:lineRule="auto" w:after="60"/>
      </w:pPr>
      <w:r>
        <w:rPr>
          <w:b/>
          <w:color w:val="1B365D"/>
        </w:rPr>
        <w:t xml:space="preserve">Isometric Orthogonal Groups: </w:t>
      </w:r>
      <w:r>
        <w:t>Orthogonal operators Q ∈ O(d) satisfy Qᵀ Q = I_d, preserving norms (║Qu║ = ║u║) and inner products (⟨Qu, Qv⟩ = ⟨u, v⟩).</w:t>
      </w:r>
    </w:p>
    <w:p>
      <w:pPr>
        <w:pStyle w:val="ListBullet"/>
        <w:spacing w:line="276" w:lineRule="auto" w:after="60"/>
      </w:pPr>
      <w:r>
        <w:rPr>
          <w:b/>
          <w:color w:val="1B365D"/>
        </w:rPr>
        <w:t xml:space="preserve">AES-256-GCM: </w:t>
      </w:r>
      <w:r>
        <w:t>NIST SP 800-38D AEAD mode combining CTR stream encryption with 128-bit GMAC authentication tags.</w:t>
      </w:r>
    </w:p>
    <w:p>
      <w:pPr>
        <w:pStyle w:val="Heading1"/>
        <w:keepNext/>
        <w:spacing w:before="360" w:after="120"/>
      </w:pPr>
      <w:r>
        <w:rPr>
          <w:rFonts w:ascii="Calibri" w:hAnsi="Calibri"/>
          <w:b/>
          <w:color w:val="1B365D"/>
          <w:sz w:val="32"/>
        </w:rPr>
        <w:t>CHAPTER 3: IDEA PROPOSED</w:t>
      </w:r>
    </w:p>
    <w:p>
      <w:pPr>
        <w:pStyle w:val="Heading2"/>
        <w:keepNext/>
        <w:spacing w:before="280" w:after="80"/>
      </w:pPr>
      <w:r>
        <w:rPr>
          <w:rFonts w:ascii="Calibri" w:hAnsi="Calibri"/>
          <w:b/>
          <w:color w:val="4B6B94"/>
          <w:sz w:val="26"/>
        </w:rPr>
        <w:t>3.1 SYSTEM THREAT MODEL AND SECURITY ASSUMPTIONS</w:t>
      </w:r>
    </w:p>
    <w:p>
      <w:pPr>
        <w:spacing w:line="276" w:lineRule="auto" w:after="100"/>
      </w:pPr>
      <w:r>
        <w:rPr>
          <w:i w:val="0"/>
        </w:rPr>
        <w:t>The framework establishes a strict trust boundary between a Trusted Client Enclave (retaining all secret keys) and an Untrusted Cloud Vector Engine (storing only masked vectors and ciphertexts).</w:t>
      </w:r>
    </w:p>
    <w:tbl>
      <w:tblPr>
        <w:tblW w:type="auto" w:w="0"/>
        <w:jc w:val="center"/>
        <w:tblLook w:firstColumn="1" w:firstRow="1" w:lastColumn="0" w:lastRow="0" w:noHBand="0" w:noVBand="1" w:val="04A0"/>
      </w:tblPr>
      <w:tblGrid>
        <w:gridCol w:w="3120"/>
        <w:gridCol w:w="3120"/>
        <w:gridCol w:w="3120"/>
      </w:tblGrid>
      <w:tr>
        <w:tc>
          <w:tcPr>
            <w:tcW w:type="dxa" w:w="3168"/>
            <w:shd w:fill="1B365D"/>
            <w:tcMar>
              <w:top w:w="60" w:type="dxa"/>
              <w:bottom w:w="60" w:type="dxa"/>
              <w:left w:w="80" w:type="dxa"/>
              <w:right w:w="80" w:type="dxa"/>
            </w:tcMar>
          </w:tcPr>
          <w:p>
            <w:r>
              <w:rPr>
                <w:b/>
                <w:color w:val="FFFFFF"/>
                <w:sz w:val="17"/>
              </w:rPr>
              <w:t>Cryptographic Asset</w:t>
            </w:r>
          </w:p>
        </w:tc>
        <w:tc>
          <w:tcPr>
            <w:tcW w:type="dxa" w:w="3168"/>
            <w:shd w:fill="1B365D"/>
            <w:tcMar>
              <w:top w:w="60" w:type="dxa"/>
              <w:bottom w:w="60" w:type="dxa"/>
              <w:left w:w="80" w:type="dxa"/>
              <w:right w:w="80" w:type="dxa"/>
            </w:tcMar>
          </w:tcPr>
          <w:p>
            <w:r>
              <w:rPr>
                <w:b/>
                <w:color w:val="FFFFFF"/>
                <w:sz w:val="17"/>
              </w:rPr>
              <w:t>Trusted Client Enclave</w:t>
            </w:r>
          </w:p>
        </w:tc>
        <w:tc>
          <w:tcPr>
            <w:tcW w:type="dxa" w:w="3024"/>
            <w:shd w:fill="1B365D"/>
            <w:tcMar>
              <w:top w:w="60" w:type="dxa"/>
              <w:bottom w:w="60" w:type="dxa"/>
              <w:left w:w="80" w:type="dxa"/>
              <w:right w:w="80" w:type="dxa"/>
            </w:tcMar>
          </w:tcPr>
          <w:p>
            <w:r>
              <w:rPr>
                <w:b/>
                <w:color w:val="FFFFFF"/>
                <w:sz w:val="17"/>
              </w:rPr>
              <w:t>Untrusted Cloud Vector Engine</w:t>
            </w:r>
          </w:p>
        </w:tc>
      </w:tr>
      <w:tr>
        <w:tc>
          <w:tcPr>
            <w:tcW w:type="dxa" w:w="3168"/>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Plaintext Document Chunks</w:t>
            </w:r>
          </w:p>
        </w:tc>
        <w:tc>
          <w:tcPr>
            <w:tcW w:type="dxa" w:w="3168"/>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Full Read / Write / Decryption Access</w:t>
            </w:r>
          </w:p>
        </w:tc>
        <w:tc>
          <w:tcPr>
            <w:tcW w:type="dxa" w:w="3024"/>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Zero Access (AES-256-GCM Ciphertext only)</w:t>
            </w:r>
          </w:p>
        </w:tc>
      </w:tr>
      <w:tr>
        <w:tc>
          <w:tcPr>
            <w:tcW w:type="dxa" w:w="3168"/>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Unmasked Dense Vectors u ∈ ℝᵈ</w:t>
            </w:r>
          </w:p>
        </w:tc>
        <w:tc>
          <w:tcPr>
            <w:tcW w:type="dxa" w:w="3168"/>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Generated locally via transformer encoder</w:t>
            </w:r>
          </w:p>
        </w:tc>
        <w:tc>
          <w:tcPr>
            <w:tcW w:type="dxa" w:w="3024"/>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Zero Access (Transformed via Q and π)</w:t>
            </w:r>
          </w:p>
        </w:tc>
      </w:tr>
      <w:tr>
        <w:tc>
          <w:tcPr>
            <w:tcW w:type="dxa" w:w="3168"/>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Orthogonal Matrix Q &amp; Permutation π</w:t>
            </w:r>
          </w:p>
        </w:tc>
        <w:tc>
          <w:tcPr>
            <w:tcW w:type="dxa" w:w="3168"/>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Retained securely in isolated enclave RAM</w:t>
            </w:r>
          </w:p>
        </w:tc>
        <w:tc>
          <w:tcPr>
            <w:tcW w:type="dxa" w:w="3024"/>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Zero Access (Cryptographic master secret)</w:t>
            </w:r>
          </w:p>
        </w:tc>
      </w:tr>
      <w:tr>
        <w:tc>
          <w:tcPr>
            <w:tcW w:type="dxa" w:w="3168"/>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256-bit Symmetric Key K_AES</w:t>
            </w:r>
          </w:p>
        </w:tc>
        <w:tc>
          <w:tcPr>
            <w:tcW w:type="dxa" w:w="3168"/>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Retained securely in isolated enclave RAM</w:t>
            </w:r>
          </w:p>
        </w:tc>
        <w:tc>
          <w:tcPr>
            <w:tcW w:type="dxa" w:w="3024"/>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Zero Access (Cryptographic master secret)</w:t>
            </w:r>
          </w:p>
        </w:tc>
      </w:tr>
      <w:tr>
        <w:tc>
          <w:tcPr>
            <w:tcW w:type="dxa" w:w="3168"/>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Master Enterprise MMR Root R_ent</w:t>
            </w:r>
          </w:p>
        </w:tc>
        <w:tc>
          <w:tcPr>
            <w:tcW w:type="dxa" w:w="3168"/>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Anchored locally (32-byte digest)</w:t>
            </w:r>
          </w:p>
        </w:tc>
        <w:tc>
          <w:tcPr>
            <w:tcW w:type="dxa" w:w="3024"/>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Stores structural mirror peaks only</w:t>
            </w:r>
          </w:p>
        </w:tc>
      </w:tr>
      <w:tr>
        <w:tc>
          <w:tcPr>
            <w:tcW w:type="dxa" w:w="3168"/>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Voronoi Coarse Centroids μ_i</w:t>
            </w:r>
          </w:p>
        </w:tc>
        <w:tc>
          <w:tcPr>
            <w:tcW w:type="dxa" w:w="3168"/>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Retained locally for DBV completeness auditing</w:t>
            </w:r>
          </w:p>
        </w:tc>
        <w:tc>
          <w:tcPr>
            <w:tcW w:type="dxa" w:w="3024"/>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Used for server-side IVF multi-probe routing</w:t>
            </w:r>
          </w:p>
        </w:tc>
      </w:tr>
    </w:tbl>
    <w:p>
      <w:pPr>
        <w:spacing w:after="160"/>
      </w:pPr>
    </w:p>
    <w:p>
      <w:pPr>
        <w:pStyle w:val="Heading2"/>
        <w:keepNext/>
        <w:spacing w:before="280" w:after="80"/>
      </w:pPr>
      <w:r>
        <w:rPr>
          <w:rFonts w:ascii="Calibri" w:hAnsi="Calibri"/>
          <w:b/>
          <w:color w:val="4B6B94"/>
          <w:sz w:val="26"/>
        </w:rPr>
        <w:t>3.2 OVERVIEW OF THE ASYMMETRIC VERIFICATION FRAMEWORK</w:t>
      </w:r>
    </w:p>
    <w:p>
      <w:pPr>
        <w:spacing w:line="276" w:lineRule="auto" w:after="100"/>
      </w:pPr>
      <w:r>
        <w:rPr>
          <w:i w:val="0"/>
        </w:rPr>
        <w:t>The six core functional modules operate seamlessly across offline ingestion and online retrieval phases:</w:t>
      </w:r>
    </w:p>
    <w:p>
      <w:pPr>
        <w:pStyle w:val="ListBullet"/>
        <w:spacing w:line="276" w:lineRule="auto" w:after="60"/>
      </w:pPr>
      <w:r>
        <w:rPr>
          <w:b/>
          <w:color w:val="1B365D"/>
        </w:rPr>
        <w:t xml:space="preserve">Module 1 (Local Ingestion &amp; Chunking): </w:t>
      </w:r>
      <w:r>
        <w:t>Parses documents into coarse parent chunks (800–1,200 chars) for LLM context and fine child chunks (200–300 chars) for vector indexing.</w:t>
      </w:r>
    </w:p>
    <w:p>
      <w:pPr>
        <w:pStyle w:val="ListBullet"/>
        <w:spacing w:line="276" w:lineRule="auto" w:after="60"/>
      </w:pPr>
      <w:r>
        <w:rPr>
          <w:b/>
          <w:color w:val="1B365D"/>
        </w:rPr>
        <w:t xml:space="preserve">Module 2 (Privacy Engine): </w:t>
      </w:r>
      <w:r>
        <w:t>Embeds child chunks into 384-d normalized vectors, applies isometric transformation v' = P_π Q v, and seals text payloads using AES-256-GCM.</w:t>
      </w:r>
    </w:p>
    <w:p>
      <w:pPr>
        <w:pStyle w:val="ListBullet"/>
        <w:spacing w:line="276" w:lineRule="auto" w:after="60"/>
      </w:pPr>
      <w:r>
        <w:rPr>
          <w:b/>
          <w:color w:val="1B365D"/>
        </w:rPr>
        <w:t xml:space="preserve">Module 3 (Two-Tier MMR Builder): </w:t>
      </w:r>
      <w:r>
        <w:t>Constructs Tier 1 User MMRs and Tier 2 Cloud Enterprise MMR, anchoring the 32-byte enterprise root R_ent locally.</w:t>
      </w:r>
    </w:p>
    <w:p>
      <w:pPr>
        <w:pStyle w:val="ListBullet"/>
        <w:spacing w:line="276" w:lineRule="auto" w:after="60"/>
      </w:pPr>
      <w:r>
        <w:rPr>
          <w:b/>
          <w:color w:val="1B365D"/>
        </w:rPr>
        <w:t xml:space="preserve">Module 4 (Cloud Search Tier): </w:t>
      </w:r>
      <w:r>
        <w:t>Untrusted cloud database (Qdrant/FAISS) executes multi-probe ANN search over masked vectors and returns candidate ciphertexts with MMR proofs.</w:t>
      </w:r>
    </w:p>
    <w:p>
      <w:pPr>
        <w:pStyle w:val="ListBullet"/>
        <w:spacing w:line="276" w:lineRule="auto" w:after="60"/>
      </w:pPr>
      <w:r>
        <w:rPr>
          <w:b/>
          <w:color w:val="1B365D"/>
        </w:rPr>
        <w:t xml:space="preserve">Module 5 (Dynamic Boundary Validation): </w:t>
      </w:r>
      <w:r>
        <w:t>Client audits search completeness by verifying that all Voronoi centroids within r_margin = 1.5 × r_closest were probed.</w:t>
      </w:r>
    </w:p>
    <w:p>
      <w:pPr>
        <w:pStyle w:val="ListBullet"/>
        <w:spacing w:line="276" w:lineRule="auto" w:after="60"/>
      </w:pPr>
      <w:r>
        <w:rPr>
          <w:b/>
          <w:color w:val="1B365D"/>
        </w:rPr>
        <w:t xml:space="preserve">Module 6 (Five-Gate Client Verifier): </w:t>
      </w:r>
      <w:r>
        <w:t>Sequential 5-gate pipeline: Gate 1 (RBAC), Gate 2 (MMR Integrity), Gate 3 (DBV Completeness), Gate 4 (AEAD Decryption), Gate 5 (CRAG/Self-RAG Grounding).</w:t>
      </w:r>
    </w:p>
    <w:p>
      <w:pPr>
        <w:pStyle w:val="Heading1"/>
        <w:keepNext/>
        <w:spacing w:before="360" w:after="120"/>
      </w:pPr>
      <w:r>
        <w:rPr>
          <w:rFonts w:ascii="Calibri" w:hAnsi="Calibri"/>
          <w:b/>
          <w:color w:val="1B365D"/>
          <w:sz w:val="32"/>
        </w:rPr>
        <w:t>CHAPTER 4: MATHEMATICAL FORMULATIONS AND SECURITY ANALYSIS</w:t>
      </w:r>
    </w:p>
    <w:p>
      <w:pPr>
        <w:pStyle w:val="Heading2"/>
        <w:keepNext/>
        <w:spacing w:before="280" w:after="80"/>
      </w:pPr>
      <w:r>
        <w:rPr>
          <w:rFonts w:ascii="Calibri" w:hAnsi="Calibri"/>
          <w:b/>
          <w:color w:val="4B6B94"/>
          <w:sz w:val="26"/>
        </w:rPr>
        <w:t>4.1 ISOMETRIC ORTHOGONAL VECTOR MASKING AND INNER-PRODUCT PRESERVATION</w:t>
      </w:r>
    </w:p>
    <w:p>
      <w:pPr>
        <w:spacing w:line="276" w:lineRule="auto" w:after="100"/>
      </w:pPr>
      <w:r>
        <w:rPr>
          <w:i w:val="0"/>
        </w:rPr>
        <w:t>To protect semantic vectors against embedding inversion attacks such as Vec2Text while enabling low-latency similarity evaluation on untrusted cloud servers, the client enclave applies an isometric orthogonal transformation matrix Q in O(384) derived via Householder QR decomposition, paired with a secret coordinate permutation matrix P_π [19]. For any dense embedding vector v in ℝᵈ, the masked vector v' = P_π Q v strictly preserves Euclidean norms and inner products, satisfying Equation (1):</w:t>
      </w:r>
    </w:p>
    <w:tbl>
      <w:tblPr>
        <w:tblW w:type="auto" w:w="0"/>
        <w:jc w:val="center"/>
        <w:tblLook w:firstColumn="1" w:firstRow="1" w:lastColumn="0" w:lastRow="0" w:noHBand="0" w:noVBand="1" w:val="04A0"/>
      </w:tblPr>
      <w:tblGrid>
        <w:gridCol w:w="9360"/>
      </w:tblGrid>
      <w:tr>
        <w:tc>
          <w:tcPr>
            <w:tcW w:type="dxa" w:w="9360"/>
            <w:shd w:fill="F0F4F8"/>
            <w:tcBorders>
              <w:top w:val="none" w:sz="24" w:space="0" w:color="none"/>
              <w:left w:val="single" w:sz="24" w:space="0" w:color="1B365D"/>
              <w:bottom w:val="none" w:sz="24" w:space="0" w:color="none"/>
              <w:right w:val="none" w:sz="24" w:space="0" w:color="none"/>
            </w:tcBorders>
            <w:tcMar>
              <w:top w:w="120" w:type="dxa"/>
              <w:bottom w:w="120" w:type="dxa"/>
              <w:left w:w="160" w:type="dxa"/>
              <w:right w:w="120" w:type="dxa"/>
            </w:tcMar>
          </w:tcPr>
          <w:p>
            <w:pPr>
              <w:spacing w:after="0" w:line="276" w:lineRule="auto"/>
            </w:pPr>
            <w:r>
              <w:rPr>
                <w:b/>
                <w:color w:val="1B365D"/>
                <w:sz w:val="20"/>
              </w:rPr>
              <w:t xml:space="preserve">INNER PRODUCT PRESERVATION EQUATION: </w:t>
            </w:r>
            <w:r>
              <w:rPr>
                <w:i/>
                <w:color w:val="222222"/>
                <w:sz w:val="20"/>
              </w:rPr>
              <w:t>⟨u', v'⟩ = (P_π Q u)ᵀ (P_π Q v) = uᵀ Qᵀ (P_πᵀ P_π) Q v = uᵀ Qᵀ I_d Q v = uᵀ I_d v = ⟨u, v⟩    (1)</w:t>
            </w:r>
          </w:p>
        </w:tc>
      </w:tr>
    </w:tbl>
    <w:p>
      <w:pPr>
        <w:spacing w:after="80"/>
      </w:pPr>
    </w:p>
    <w:p>
      <w:pPr>
        <w:spacing w:line="276" w:lineRule="auto" w:after="100"/>
      </w:pPr>
      <w:r>
        <w:rPr>
          <w:i w:val="0"/>
        </w:rPr>
        <w:t>Because P_πᵀ P_π = I_d and Qᵀ Q = I_d, cosine similarity cos(θ') in the encrypted cloud space is mathematically identical to cos(θ) in the unmasked client space, ensuring zero loss in retrieval recall.</w:t>
      </w:r>
    </w:p>
    <w:p>
      <w:pPr>
        <w:pStyle w:val="Heading2"/>
        <w:keepNext/>
        <w:spacing w:before="280" w:after="80"/>
      </w:pPr>
      <w:r>
        <w:rPr>
          <w:rFonts w:ascii="Calibri" w:hAnsi="Calibri"/>
          <w:b/>
          <w:color w:val="4B6B94"/>
          <w:sz w:val="26"/>
        </w:rPr>
        <w:t>4.2 TWO-TIER MERKLE MOUNTAIN RANGE INCLUSION PROOF CONSTRUCTION</w:t>
      </w:r>
    </w:p>
    <w:p>
      <w:pPr>
        <w:spacing w:line="276" w:lineRule="auto" w:after="100"/>
      </w:pPr>
      <w:r>
        <w:rPr>
          <w:i w:val="0"/>
        </w:rPr>
        <w:t>Leaf hashes binding chunk metadata are computed canonically using domain separation prefix 0x00:</w:t>
      </w:r>
    </w:p>
    <w:tbl>
      <w:tblPr>
        <w:tblW w:type="auto" w:w="0"/>
        <w:jc w:val="center"/>
        <w:tblLook w:firstColumn="1" w:firstRow="1" w:lastColumn="0" w:lastRow="0" w:noHBand="0" w:noVBand="1" w:val="04A0"/>
      </w:tblPr>
      <w:tblGrid>
        <w:gridCol w:w="9360"/>
      </w:tblGrid>
      <w:tr>
        <w:tc>
          <w:tcPr>
            <w:tcW w:type="dxa" w:w="9360"/>
            <w:shd w:fill="F0F4F8"/>
            <w:tcBorders>
              <w:top w:val="none" w:sz="24" w:space="0" w:color="none"/>
              <w:left w:val="single" w:sz="24" w:space="0" w:color="1B365D"/>
              <w:bottom w:val="none" w:sz="24" w:space="0" w:color="none"/>
              <w:right w:val="none" w:sz="24" w:space="0" w:color="none"/>
            </w:tcBorders>
            <w:tcMar>
              <w:top w:w="120" w:type="dxa"/>
              <w:bottom w:w="120" w:type="dxa"/>
              <w:left w:w="160" w:type="dxa"/>
              <w:right w:w="120" w:type="dxa"/>
            </w:tcMar>
          </w:tcPr>
          <w:p>
            <w:pPr>
              <w:spacing w:after="0" w:line="276" w:lineRule="auto"/>
            </w:pPr>
            <w:r>
              <w:rPr>
                <w:b/>
                <w:color w:val="1B365D"/>
                <w:sz w:val="20"/>
              </w:rPr>
              <w:t xml:space="preserve">LEAF BINDING EQUATION: </w:t>
            </w:r>
            <w:r>
              <w:rPr>
                <w:i/>
                <w:color w:val="222222"/>
                <w:sz w:val="20"/>
              </w:rPr>
              <w:t>h_leaf = SHA-256(0x00 || org_id || ':' || user_id || ':' || doc_id || ':' || chunk_id || ':' || chunk_index || ':' || SHA256(chunk_text))    (2)</w:t>
            </w:r>
          </w:p>
        </w:tc>
      </w:tr>
    </w:tbl>
    <w:p>
      <w:pPr>
        <w:spacing w:after="80"/>
      </w:pPr>
    </w:p>
    <w:p>
      <w:pPr>
        <w:spacing w:line="276" w:lineRule="auto" w:after="100"/>
      </w:pPr>
      <w:r>
        <w:rPr>
          <w:i w:val="0"/>
        </w:rPr>
        <w:t>Peaks of Tier 1 User MMRs are bagged into user roots, which form the leaves of Tier 2, culminating in the 32-byte master root R_ent:</w:t>
      </w:r>
    </w:p>
    <w:tbl>
      <w:tblPr>
        <w:tblW w:type="auto" w:w="0"/>
        <w:jc w:val="center"/>
        <w:tblLook w:firstColumn="1" w:firstRow="1" w:lastColumn="0" w:lastRow="0" w:noHBand="0" w:noVBand="1" w:val="04A0"/>
      </w:tblPr>
      <w:tblGrid>
        <w:gridCol w:w="9360"/>
      </w:tblGrid>
      <w:tr>
        <w:tc>
          <w:tcPr>
            <w:tcW w:type="dxa" w:w="9360"/>
            <w:shd w:fill="F0F4F8"/>
            <w:tcBorders>
              <w:top w:val="none" w:sz="24" w:space="0" w:color="none"/>
              <w:left w:val="single" w:sz="24" w:space="0" w:color="1B365D"/>
              <w:bottom w:val="none" w:sz="24" w:space="0" w:color="none"/>
              <w:right w:val="none" w:sz="24" w:space="0" w:color="none"/>
            </w:tcBorders>
            <w:tcMar>
              <w:top w:w="120" w:type="dxa"/>
              <w:bottom w:w="120" w:type="dxa"/>
              <w:left w:w="160" w:type="dxa"/>
              <w:right w:w="120" w:type="dxa"/>
            </w:tcMar>
          </w:tcPr>
          <w:p>
            <w:pPr>
              <w:spacing w:after="0" w:line="276" w:lineRule="auto"/>
            </w:pPr>
            <w:r>
              <w:rPr>
                <w:b/>
                <w:color w:val="1B365D"/>
                <w:sz w:val="20"/>
              </w:rPr>
              <w:t xml:space="preserve">TWO-TIER MMR ROOT FORMULATIONS: </w:t>
            </w:r>
            <w:r>
              <w:rPr>
                <w:i/>
                <w:color w:val="222222"/>
                <w:sz w:val="20"/>
              </w:rPr>
              <w:t>R_user = SHA-256(0x03 || user_id || ':' || chunk_count || ':' || BagPeaks(Peaks_user))    (3a)</w:t>
              <w:br/>
              <w:t>R_ent  = SHA-256(0x04 || org_id || ':' || user_count || ':' || total_chunks || ':' || BagPeaks(Peaks_cloud))    (3b)</w:t>
            </w:r>
          </w:p>
        </w:tc>
      </w:tr>
    </w:tbl>
    <w:p>
      <w:pPr>
        <w:spacing w:after="80"/>
      </w:pPr>
    </w:p>
    <w:p>
      <w:pPr>
        <w:pStyle w:val="Heading2"/>
        <w:keepNext/>
        <w:spacing w:before="280" w:after="80"/>
      </w:pPr>
      <w:r>
        <w:rPr>
          <w:rFonts w:ascii="Calibri" w:hAnsi="Calibri"/>
          <w:b/>
          <w:color w:val="4B6B94"/>
          <w:sz w:val="26"/>
        </w:rPr>
        <w:t>4.3 VORONOI DYNAMIC BOUNDARY VALIDATION (DBV) FORMULATION</w:t>
      </w:r>
    </w:p>
    <w:p>
      <w:pPr>
        <w:spacing w:line="276" w:lineRule="auto" w:after="100"/>
      </w:pPr>
      <w:r>
        <w:rPr>
          <w:i w:val="0"/>
        </w:rPr>
        <w:t>To audit whether an untrusted cloud vector database executes complete multi-probe searches across partitioned Inverted File (IVF) cells without lazily dropping adjacent clusters, Module 5 executes Voronoi Dynamic Boundary Validation. Given query vector q and Voronoi coarse centroids {μ_1, ..., μ_C}, cosine distances d_i = 1 - (q · μ_i)/(║q║ ║μ_i║) are evaluated locally. Let i* = argmin d_i denote the closest cluster with empirical radius r_closest. The mandatory boundary search margin is formulated as:</w:t>
      </w:r>
    </w:p>
    <w:tbl>
      <w:tblPr>
        <w:tblW w:type="auto" w:w="0"/>
        <w:jc w:val="center"/>
        <w:tblLook w:firstColumn="1" w:firstRow="1" w:lastColumn="0" w:lastRow="0" w:noHBand="0" w:noVBand="1" w:val="04A0"/>
      </w:tblPr>
      <w:tblGrid>
        <w:gridCol w:w="9360"/>
      </w:tblGrid>
      <w:tr>
        <w:tc>
          <w:tcPr>
            <w:tcW w:type="dxa" w:w="9360"/>
            <w:shd w:fill="F0F4F8"/>
            <w:tcBorders>
              <w:top w:val="none" w:sz="24" w:space="0" w:color="none"/>
              <w:left w:val="single" w:sz="24" w:space="0" w:color="1B365D"/>
              <w:bottom w:val="none" w:sz="24" w:space="0" w:color="none"/>
              <w:right w:val="none" w:sz="24" w:space="0" w:color="none"/>
            </w:tcBorders>
            <w:tcMar>
              <w:top w:w="120" w:type="dxa"/>
              <w:bottom w:w="120" w:type="dxa"/>
              <w:left w:w="160" w:type="dxa"/>
              <w:right w:w="120" w:type="dxa"/>
            </w:tcMar>
          </w:tcPr>
          <w:p>
            <w:pPr>
              <w:spacing w:after="0" w:line="276" w:lineRule="auto"/>
            </w:pPr>
            <w:r>
              <w:rPr>
                <w:b/>
                <w:color w:val="1B365D"/>
                <w:sz w:val="20"/>
              </w:rPr>
              <w:t xml:space="preserve">VORONOI DBV COMPLETENESS FORMULATION: </w:t>
            </w:r>
            <w:r>
              <w:rPr>
                <w:i/>
                <w:color w:val="222222"/>
                <w:sz w:val="20"/>
              </w:rPr>
              <w:t>r_margin = 1.5 × r_closest</w:t>
              <w:br/>
              <w:t>S_required = { i ∈ {1, ..., C} | (d_i - d_min) ≤ r_margin }    (4)</w:t>
              <w:br/>
              <w:t>is_complete = (S_required ⊆ S_retrieved) ⟺ (γ = |S_required ∩ S_retrieved| / |S_required| == 1.0)    (5)</w:t>
            </w:r>
          </w:p>
        </w:tc>
      </w:tr>
    </w:tbl>
    <w:p>
      <w:pPr>
        <w:spacing w:after="80"/>
      </w:pPr>
    </w:p>
    <w:p>
      <w:pPr>
        <w:spacing w:line="276" w:lineRule="auto" w:after="100"/>
      </w:pPr>
      <w:r>
        <w:rPr>
          <w:i w:val="0"/>
        </w:rPr>
        <w:t>If the cloud omits even a single mandatory boundary cluster, coverage ratio γ drops below 1.0, causing Gate 3 to abort retrieval immediately.</w:t>
      </w:r>
    </w:p>
    <w:p>
      <w:pPr>
        <w:pStyle w:val="Heading2"/>
        <w:keepNext/>
        <w:spacing w:before="280" w:after="80"/>
      </w:pPr>
      <w:r>
        <w:rPr>
          <w:rFonts w:ascii="Calibri" w:hAnsi="Calibri"/>
          <w:b/>
          <w:color w:val="4B6B94"/>
          <w:sz w:val="26"/>
        </w:rPr>
        <w:t>4.4 FORMAL SECURITY ANALYSIS AGAINST ADVERSARIAL THREAT CAPABILITIES</w:t>
      </w:r>
    </w:p>
    <w:p>
      <w:pPr>
        <w:spacing w:line="276" w:lineRule="auto" w:after="100"/>
      </w:pPr>
      <w:r>
        <w:rPr>
          <w:i w:val="0"/>
        </w:rPr>
        <w:t>The sequential five-gate client verifier maps directly to the five adversarial threat vectors:</w:t>
      </w:r>
    </w:p>
    <w:p>
      <w:pPr>
        <w:pStyle w:val="ListBullet"/>
        <w:spacing w:line="276" w:lineRule="auto" w:after="60"/>
      </w:pPr>
      <w:r>
        <w:rPr>
          <w:b/>
          <w:color w:val="1B365D"/>
        </w:rPr>
        <w:t xml:space="preserve">1. Gate 1 (RBAC Tenant Isolation): </w:t>
      </w:r>
      <w:r>
        <w:t>Validates PBKDF2 role tokens, preventing unauthorized tenant queries (neutralizes TV-04).</w:t>
      </w:r>
    </w:p>
    <w:p>
      <w:pPr>
        <w:pStyle w:val="ListBullet"/>
        <w:spacing w:line="276" w:lineRule="auto" w:after="60"/>
      </w:pPr>
      <w:r>
        <w:rPr>
          <w:b/>
          <w:color w:val="1B365D"/>
        </w:rPr>
        <w:t xml:space="preserve">2. Gate 2 (Two-Tier MMR Integrity): </w:t>
      </w:r>
      <w:r>
        <w:t>Audits Two-Tier inclusion proofs against local 32-byte root R_ent, blocking ciphertext bit-tampering and cross-document splicing (neutralizes TV-02).</w:t>
      </w:r>
    </w:p>
    <w:p>
      <w:pPr>
        <w:pStyle w:val="ListBullet"/>
        <w:spacing w:line="276" w:lineRule="auto" w:after="60"/>
      </w:pPr>
      <w:r>
        <w:rPr>
          <w:b/>
          <w:color w:val="1B365D"/>
        </w:rPr>
        <w:t xml:space="preserve">3. Gate 3 (Voronoi DBV Completeness): </w:t>
      </w:r>
      <w:r>
        <w:t>Audits multi-probe Voronoi coverage (S_required ⊆ S_retrieved), detecting lazy-cloud cluster dropping (neutralizes TV-03).</w:t>
      </w:r>
    </w:p>
    <w:p>
      <w:pPr>
        <w:pStyle w:val="ListBullet"/>
        <w:spacing w:line="276" w:lineRule="auto" w:after="60"/>
      </w:pPr>
      <w:r>
        <w:rPr>
          <w:b/>
          <w:color w:val="1B365D"/>
        </w:rPr>
        <w:t xml:space="preserve">4. Gate 4 (AES-256-GCM AEAD Decryption): </w:t>
      </w:r>
      <w:r>
        <w:t>Validates 128-bit GMAC tags and decrypts authenticated plaintext payloads (neutralizes TV-01).</w:t>
      </w:r>
    </w:p>
    <w:p>
      <w:pPr>
        <w:pStyle w:val="ListBullet"/>
        <w:spacing w:line="276" w:lineRule="auto" w:after="60"/>
      </w:pPr>
      <w:r>
        <w:rPr>
          <w:b/>
          <w:color w:val="1B365D"/>
        </w:rPr>
        <w:t xml:space="preserve">5. Gate 5 (CRAG / Self-RAG Grounding): </w:t>
      </w:r>
      <w:r>
        <w:t>Applies CRAG relevance scoring and Self-RAG reflection to eliminate hallucinated context before generative synthesis (neutralizes TV-05).</w:t>
      </w:r>
    </w:p>
    <w:p>
      <w:pPr>
        <w:pStyle w:val="Heading1"/>
        <w:keepNext/>
        <w:spacing w:before="360" w:after="120"/>
      </w:pPr>
      <w:r>
        <w:rPr>
          <w:rFonts w:ascii="Calibri" w:hAnsi="Calibri"/>
          <w:b/>
          <w:color w:val="1B365D"/>
          <w:sz w:val="32"/>
        </w:rPr>
        <w:t>CHAPTER 5: EXPERIMENTAL EVALUATION AND PERFORMANCE ANALYSIS</w:t>
      </w:r>
    </w:p>
    <w:p>
      <w:pPr>
        <w:pStyle w:val="Heading2"/>
        <w:keepNext/>
        <w:spacing w:before="280" w:after="80"/>
      </w:pPr>
      <w:r>
        <w:rPr>
          <w:rFonts w:ascii="Calibri" w:hAnsi="Calibri"/>
          <w:b/>
          <w:color w:val="4B6B94"/>
          <w:sz w:val="26"/>
        </w:rPr>
        <w:t>5.1 IMPLEMENTATION ENVIRONMENT AND EXPERIMENTAL SETUP</w:t>
      </w:r>
    </w:p>
    <w:p>
      <w:pPr>
        <w:spacing w:line="276" w:lineRule="auto" w:after="100"/>
      </w:pPr>
      <w:r>
        <w:rPr>
          <w:i w:val="0"/>
        </w:rPr>
        <w:t>The client enclave was benchmarked on an Intel Core i7 workstation (16 GB RAM) with Python 3.11, PyTorch, NumPy, scikit-learn, cryptography, Qdrant, and FAISS.</w:t>
      </w:r>
    </w:p>
    <w:p>
      <w:pPr>
        <w:pStyle w:val="Heading2"/>
        <w:keepNext/>
        <w:spacing w:before="280" w:after="80"/>
      </w:pPr>
      <w:r>
        <w:rPr>
          <w:rFonts w:ascii="Calibri" w:hAnsi="Calibri"/>
          <w:b/>
          <w:color w:val="4B6B94"/>
          <w:sz w:val="26"/>
        </w:rPr>
        <w:t>5.2 PRELIMINARY BENCHMARKING: ZK-SNARK BASELINES VS. TWO-TIER MMR</w:t>
      </w:r>
    </w:p>
    <w:p>
      <w:pPr>
        <w:spacing w:line="276" w:lineRule="auto" w:after="100"/>
      </w:pPr>
      <w:r>
        <w:rPr>
          <w:i w:val="0"/>
        </w:rPr>
        <w:t>Table 5.2 compares the computational overhead of the proposed Asymmetric Verifier against state-of-the-art zk-SNARK verifiable RAG baselines:</w:t>
      </w:r>
    </w:p>
    <w:tbl>
      <w:tblPr>
        <w:tblW w:type="auto" w:w="0"/>
        <w:jc w:val="center"/>
        <w:tblLook w:firstColumn="1" w:firstRow="1" w:lastColumn="0" w:lastRow="0" w:noHBand="0" w:noVBand="1" w:val="04A0"/>
      </w:tblPr>
      <w:tblGrid>
        <w:gridCol w:w="2340"/>
        <w:gridCol w:w="2340"/>
        <w:gridCol w:w="2340"/>
        <w:gridCol w:w="2340"/>
      </w:tblGrid>
      <w:tr>
        <w:tc>
          <w:tcPr>
            <w:tcW w:type="dxa" w:w="2880"/>
            <w:shd w:fill="1B365D"/>
            <w:tcMar>
              <w:top w:w="60" w:type="dxa"/>
              <w:bottom w:w="60" w:type="dxa"/>
              <w:left w:w="80" w:type="dxa"/>
              <w:right w:w="80" w:type="dxa"/>
            </w:tcMar>
          </w:tcPr>
          <w:p>
            <w:r>
              <w:rPr>
                <w:b/>
                <w:color w:val="FFFFFF"/>
                <w:sz w:val="17"/>
              </w:rPr>
              <w:t>Verification System</w:t>
            </w:r>
          </w:p>
        </w:tc>
        <w:tc>
          <w:tcPr>
            <w:tcW w:type="dxa" w:w="2592"/>
            <w:shd w:fill="1B365D"/>
            <w:tcMar>
              <w:top w:w="60" w:type="dxa"/>
              <w:bottom w:w="60" w:type="dxa"/>
              <w:left w:w="80" w:type="dxa"/>
              <w:right w:w="80" w:type="dxa"/>
            </w:tcMar>
          </w:tcPr>
          <w:p>
            <w:r>
              <w:rPr>
                <w:b/>
                <w:color w:val="FFFFFF"/>
                <w:sz w:val="17"/>
              </w:rPr>
              <w:t>Verification Latency</w:t>
            </w:r>
          </w:p>
        </w:tc>
        <w:tc>
          <w:tcPr>
            <w:tcW w:type="dxa" w:w="2016"/>
            <w:shd w:fill="1B365D"/>
            <w:tcMar>
              <w:top w:w="60" w:type="dxa"/>
              <w:bottom w:w="60" w:type="dxa"/>
              <w:left w:w="80" w:type="dxa"/>
              <w:right w:w="80" w:type="dxa"/>
            </w:tcMar>
          </w:tcPr>
          <w:p>
            <w:r>
              <w:rPr>
                <w:b/>
                <w:color w:val="FFFFFF"/>
                <w:sz w:val="17"/>
              </w:rPr>
              <w:t>Prover RAM Overhead</w:t>
            </w:r>
          </w:p>
        </w:tc>
        <w:tc>
          <w:tcPr>
            <w:tcW w:type="dxa" w:w="1872"/>
            <w:shd w:fill="1B365D"/>
            <w:tcMar>
              <w:top w:w="60" w:type="dxa"/>
              <w:bottom w:w="60" w:type="dxa"/>
              <w:left w:w="80" w:type="dxa"/>
              <w:right w:w="80" w:type="dxa"/>
            </w:tcMar>
          </w:tcPr>
          <w:p>
            <w:r>
              <w:rPr>
                <w:b/>
                <w:color w:val="FFFFFF"/>
                <w:sz w:val="17"/>
              </w:rPr>
              <w:t>Speedup vs. ZKP Baselines</w:t>
            </w:r>
          </w:p>
        </w:tc>
      </w:tr>
      <w:tr>
        <w:tc>
          <w:tcPr>
            <w:tcW w:type="dxa" w:w="288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VeriRAG (zk-SNARK) [8]</w:t>
            </w:r>
          </w:p>
        </w:tc>
        <w:tc>
          <w:tcPr>
            <w:tcW w:type="dxa" w:w="2592"/>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15,000 – 25,000 ms</w:t>
            </w:r>
          </w:p>
        </w:tc>
        <w:tc>
          <w:tcPr>
            <w:tcW w:type="dxa" w:w="2016"/>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&gt; 32 GB RAM</w:t>
            </w:r>
          </w:p>
        </w:tc>
        <w:tc>
          <w:tcPr>
            <w:tcW w:type="dxa" w:w="1872"/>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Baseline (1x)</w:t>
            </w:r>
          </w:p>
        </w:tc>
      </w:tr>
      <w:tr>
        <w:tc>
          <w:tcPr>
            <w:tcW w:type="dxa" w:w="288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V3DB (IVF-PQ SNARK) [9]</w:t>
            </w:r>
          </w:p>
        </w:tc>
        <w:tc>
          <w:tcPr>
            <w:tcW w:type="dxa" w:w="2592"/>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18,000 – 30,000 ms</w:t>
            </w:r>
          </w:p>
        </w:tc>
        <w:tc>
          <w:tcPr>
            <w:tcW w:type="dxa" w:w="2016"/>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&gt; 32 GB RAM</w:t>
            </w:r>
          </w:p>
        </w:tc>
        <w:tc>
          <w:tcPr>
            <w:tcW w:type="dxa" w:w="1872"/>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1x – 1.2x</w:t>
            </w:r>
          </w:p>
        </w:tc>
      </w:tr>
      <w:tr>
        <w:tc>
          <w:tcPr>
            <w:tcW w:type="dxa" w:w="2880"/>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zkRAG (Succinct ZK) [10]</w:t>
            </w:r>
          </w:p>
        </w:tc>
        <w:tc>
          <w:tcPr>
            <w:tcW w:type="dxa" w:w="2592"/>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25,000 – 40,000 ms</w:t>
            </w:r>
          </w:p>
        </w:tc>
        <w:tc>
          <w:tcPr>
            <w:tcW w:type="dxa" w:w="2016"/>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&gt; 32 GB RAM</w:t>
            </w:r>
          </w:p>
        </w:tc>
        <w:tc>
          <w:tcPr>
            <w:tcW w:type="dxa" w:w="1872"/>
            <w:shd w:fill="F8FAFC"/>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1x</w:t>
            </w:r>
          </w:p>
        </w:tc>
      </w:tr>
      <w:tr>
        <w:tc>
          <w:tcPr>
            <w:tcW w:type="dxa" w:w="2880"/>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Proposed Asymmetric Verifier</w:t>
            </w:r>
          </w:p>
        </w:tc>
        <w:tc>
          <w:tcPr>
            <w:tcW w:type="dxa" w:w="2592"/>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2.15 ms (Normal) / &lt; 29.91 ms (Abort)</w:t>
            </w:r>
          </w:p>
        </w:tc>
        <w:tc>
          <w:tcPr>
            <w:tcW w:type="dxa" w:w="2016"/>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&lt; 250 MB RAM</w:t>
            </w:r>
          </w:p>
        </w:tc>
        <w:tc>
          <w:tcPr>
            <w:tcW w:type="dxa" w:w="1872"/>
            <w:shd w:fill="FFFFFF"/>
            <w:tcBorders>
              <w:top w:val="single" w:sz="4" w:space="0" w:color="E2E8F0"/>
              <w:left w:val="none" w:sz="4" w:space="0" w:color="none"/>
              <w:bottom w:val="single" w:sz="4" w:space="0" w:color="E2E8F0"/>
              <w:right w:val="none" w:sz="4" w:space="0" w:color="none"/>
            </w:tcBorders>
            <w:tcMar>
              <w:top w:w="50" w:type="dxa"/>
              <w:bottom w:w="50" w:type="dxa"/>
              <w:left w:w="60" w:type="dxa"/>
              <w:right w:w="60" w:type="dxa"/>
            </w:tcMar>
          </w:tcPr>
          <w:p>
            <w:r>
              <w:rPr>
                <w:color w:val="222222"/>
                <w:sz w:val="17"/>
              </w:rPr>
              <w:t>300x – 500x Speedup</w:t>
            </w:r>
          </w:p>
        </w:tc>
      </w:tr>
    </w:tbl>
    <w:p>
      <w:pPr>
        <w:spacing w:after="160"/>
      </w:pPr>
    </w:p>
    <w:p>
      <w:pPr>
        <w:pStyle w:val="Heading2"/>
        <w:keepNext/>
        <w:spacing w:before="280" w:after="80"/>
      </w:pPr>
      <w:r>
        <w:rPr>
          <w:rFonts w:ascii="Calibri" w:hAnsi="Calibri"/>
          <w:b/>
          <w:color w:val="4B6B94"/>
          <w:sz w:val="26"/>
        </w:rPr>
        <w:t>5.3 MULTI-SCENARIO ADVERSARIAL EVALUATION (SCN-01 TO SCN-04)</w:t>
      </w:r>
    </w:p>
    <w:p>
      <w:pPr>
        <w:pStyle w:val="ListBullet"/>
        <w:spacing w:line="276" w:lineRule="auto" w:after="60"/>
      </w:pPr>
      <w:r>
        <w:rPr>
          <w:b/>
          <w:color w:val="1B365D"/>
        </w:rPr>
        <w:t xml:space="preserve">1. SCN-01 (Normal Execution): </w:t>
      </w:r>
      <w:r>
        <w:t>Honest cloud index returning authentic chunks and complete Voronoi boundary cells. Passes all 5 gates in 2.15 ms.</w:t>
      </w:r>
    </w:p>
    <w:p>
      <w:pPr>
        <w:pStyle w:val="ListBullet"/>
        <w:spacing w:line="276" w:lineRule="auto" w:after="60"/>
      </w:pPr>
      <w:r>
        <w:rPr>
          <w:b/>
          <w:color w:val="1B365D"/>
        </w:rPr>
        <w:t xml:space="preserve">2. SCN-02 (Bit-Level Payload Tampering): </w:t>
      </w:r>
      <w:r>
        <w:t>Adversarial bit-flip injected into ciphertext payload. Aborted at Gate 2 (MMR) in 0.86 ms (total abort with logging: 29.91 ms).</w:t>
      </w:r>
    </w:p>
    <w:p>
      <w:pPr>
        <w:pStyle w:val="ListBullet"/>
        <w:spacing w:line="276" w:lineRule="auto" w:after="60"/>
      </w:pPr>
      <w:r>
        <w:rPr>
          <w:b/>
          <w:color w:val="1B365D"/>
        </w:rPr>
        <w:t xml:space="preserve">3. SCN-03 (Lazy-Cloud Cluster Omission): </w:t>
      </w:r>
      <w:r>
        <w:t>Lazy cloud omits mandatory adjacent Voronoi cluster. Aborted at Gate 3 (Voronoi DBV) in 0.45 ms (total abort: 27.20 ms).</w:t>
      </w:r>
    </w:p>
    <w:p>
      <w:pPr>
        <w:pStyle w:val="ListBullet"/>
        <w:spacing w:line="276" w:lineRule="auto" w:after="60"/>
      </w:pPr>
      <w:r>
        <w:rPr>
          <w:b/>
          <w:color w:val="1B365D"/>
        </w:rPr>
        <w:t xml:space="preserve">4. SCN-04 (Cross-Tenant Intrusion): </w:t>
      </w:r>
      <w:r>
        <w:t>Unauthorized session token attempting access to restricted tenant. Aborted at Gate 1 (RBAC) in 0.15 ms (total abort: 26.00 ms).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864"/>
            <w:shd w:fill="1B365D"/>
            <w:tcMar>
              <w:top w:w="60" w:type="dxa"/>
              <w:bottom w:w="60" w:type="dxa"/>
              <w:left w:w="50" w:type="dxa"/>
              <w:right w:w="50" w:type="dxa"/>
            </w:tcMar>
          </w:tcPr>
          <w:p>
            <w:r>
              <w:rPr>
                <w:b/>
                <w:color w:val="FFFFFF"/>
                <w:sz w:val="16"/>
              </w:rPr>
              <w:t>ID</w:t>
            </w:r>
          </w:p>
        </w:tc>
        <w:tc>
          <w:tcPr>
            <w:tcW w:type="dxa" w:w="2592"/>
            <w:shd w:fill="1B365D"/>
            <w:tcMar>
              <w:top w:w="60" w:type="dxa"/>
              <w:bottom w:w="60" w:type="dxa"/>
              <w:left w:w="50" w:type="dxa"/>
              <w:right w:w="50" w:type="dxa"/>
            </w:tcMar>
          </w:tcPr>
          <w:p>
            <w:r>
              <w:rPr>
                <w:b/>
                <w:color w:val="FFFFFF"/>
                <w:sz w:val="16"/>
              </w:rPr>
              <w:t>Operational Condition</w:t>
            </w:r>
          </w:p>
        </w:tc>
        <w:tc>
          <w:tcPr>
            <w:tcW w:type="dxa" w:w="720"/>
            <w:shd w:fill="1B365D"/>
            <w:tcMar>
              <w:top w:w="60" w:type="dxa"/>
              <w:bottom w:w="60" w:type="dxa"/>
              <w:left w:w="50" w:type="dxa"/>
              <w:right w:w="50" w:type="dxa"/>
            </w:tcMar>
          </w:tcPr>
          <w:p>
            <w:r>
              <w:rPr>
                <w:b/>
                <w:color w:val="FFFFFF"/>
                <w:sz w:val="16"/>
              </w:rPr>
              <w:t>Gate 1</w:t>
            </w:r>
          </w:p>
        </w:tc>
        <w:tc>
          <w:tcPr>
            <w:tcW w:type="dxa" w:w="720"/>
            <w:shd w:fill="1B365D"/>
            <w:tcMar>
              <w:top w:w="60" w:type="dxa"/>
              <w:bottom w:w="60" w:type="dxa"/>
              <w:left w:w="50" w:type="dxa"/>
              <w:right w:w="50" w:type="dxa"/>
            </w:tcMar>
          </w:tcPr>
          <w:p>
            <w:r>
              <w:rPr>
                <w:b/>
                <w:color w:val="FFFFFF"/>
                <w:sz w:val="16"/>
              </w:rPr>
              <w:t>Gate 2</w:t>
            </w:r>
          </w:p>
        </w:tc>
        <w:tc>
          <w:tcPr>
            <w:tcW w:type="dxa" w:w="720"/>
            <w:shd w:fill="1B365D"/>
            <w:tcMar>
              <w:top w:w="60" w:type="dxa"/>
              <w:bottom w:w="60" w:type="dxa"/>
              <w:left w:w="50" w:type="dxa"/>
              <w:right w:w="50" w:type="dxa"/>
            </w:tcMar>
          </w:tcPr>
          <w:p>
            <w:r>
              <w:rPr>
                <w:b/>
                <w:color w:val="FFFFFF"/>
                <w:sz w:val="16"/>
              </w:rPr>
              <w:t>Gate 3</w:t>
            </w:r>
          </w:p>
        </w:tc>
        <w:tc>
          <w:tcPr>
            <w:tcW w:type="dxa" w:w="720"/>
            <w:shd w:fill="1B365D"/>
            <w:tcMar>
              <w:top w:w="60" w:type="dxa"/>
              <w:bottom w:w="60" w:type="dxa"/>
              <w:left w:w="50" w:type="dxa"/>
              <w:right w:w="50" w:type="dxa"/>
            </w:tcMar>
          </w:tcPr>
          <w:p>
            <w:r>
              <w:rPr>
                <w:b/>
                <w:color w:val="FFFFFF"/>
                <w:sz w:val="16"/>
              </w:rPr>
              <w:t>Gate 4</w:t>
            </w:r>
          </w:p>
        </w:tc>
        <w:tc>
          <w:tcPr>
            <w:tcW w:type="dxa" w:w="720"/>
            <w:shd w:fill="1B365D"/>
            <w:tcMar>
              <w:top w:w="60" w:type="dxa"/>
              <w:bottom w:w="60" w:type="dxa"/>
              <w:left w:w="50" w:type="dxa"/>
              <w:right w:w="50" w:type="dxa"/>
            </w:tcMar>
          </w:tcPr>
          <w:p>
            <w:r>
              <w:rPr>
                <w:b/>
                <w:color w:val="FFFFFF"/>
                <w:sz w:val="16"/>
              </w:rPr>
              <w:t>Gate 5</w:t>
            </w:r>
          </w:p>
        </w:tc>
        <w:tc>
          <w:tcPr>
            <w:tcW w:type="dxa" w:w="2016"/>
            <w:shd w:fill="1B365D"/>
            <w:tcMar>
              <w:top w:w="60" w:type="dxa"/>
              <w:bottom w:w="60" w:type="dxa"/>
              <w:left w:w="50" w:type="dxa"/>
              <w:right w:w="50" w:type="dxa"/>
            </w:tcMar>
          </w:tcPr>
          <w:p>
            <w:r>
              <w:rPr>
                <w:b/>
                <w:color w:val="FFFFFF"/>
                <w:sz w:val="16"/>
              </w:rPr>
              <w:t>Overall Status</w:t>
            </w:r>
          </w:p>
        </w:tc>
        <w:tc>
          <w:tcPr>
            <w:tcW w:type="dxa" w:w="1152"/>
            <w:shd w:fill="1B365D"/>
            <w:tcMar>
              <w:top w:w="60" w:type="dxa"/>
              <w:bottom w:w="60" w:type="dxa"/>
              <w:left w:w="50" w:type="dxa"/>
              <w:right w:w="50" w:type="dxa"/>
            </w:tcMar>
          </w:tcPr>
          <w:p>
            <w:r>
              <w:rPr>
                <w:b/>
                <w:color w:val="FFFFFF"/>
                <w:sz w:val="16"/>
              </w:rPr>
              <w:t>Gate Latency</w:t>
            </w:r>
          </w:p>
        </w:tc>
      </w:tr>
      <w:tr>
        <w:tc>
          <w:tcPr>
            <w:tcW w:type="dxa" w:w="864"/>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color w:val="222222"/>
                <w:sz w:val="16"/>
              </w:rPr>
              <w:t>SCN-01</w:t>
            </w:r>
          </w:p>
        </w:tc>
        <w:tc>
          <w:tcPr>
            <w:tcW w:type="dxa" w:w="2592"/>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r>
              <w:rPr>
                <w:color w:val="222222"/>
                <w:sz w:val="16"/>
              </w:rPr>
              <w:t>Normal Honest Retrieval</w:t>
            </w:r>
          </w:p>
        </w:tc>
        <w:tc>
          <w:tcPr>
            <w:tcW w:type="dxa" w:w="720"/>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228B22"/>
                <w:sz w:val="16"/>
              </w:rPr>
              <w:t>PASS</w:t>
            </w:r>
          </w:p>
        </w:tc>
        <w:tc>
          <w:tcPr>
            <w:tcW w:type="dxa" w:w="720"/>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228B22"/>
                <w:sz w:val="16"/>
              </w:rPr>
              <w:t>PASS</w:t>
            </w:r>
          </w:p>
        </w:tc>
        <w:tc>
          <w:tcPr>
            <w:tcW w:type="dxa" w:w="720"/>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228B22"/>
                <w:sz w:val="16"/>
              </w:rPr>
              <w:t>PASS</w:t>
            </w:r>
          </w:p>
        </w:tc>
        <w:tc>
          <w:tcPr>
            <w:tcW w:type="dxa" w:w="720"/>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228B22"/>
                <w:sz w:val="16"/>
              </w:rPr>
              <w:t>PASS</w:t>
            </w:r>
          </w:p>
        </w:tc>
        <w:tc>
          <w:tcPr>
            <w:tcW w:type="dxa" w:w="720"/>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228B22"/>
                <w:sz w:val="16"/>
              </w:rPr>
              <w:t>PASS</w:t>
            </w:r>
          </w:p>
        </w:tc>
        <w:tc>
          <w:tcPr>
            <w:tcW w:type="dxa" w:w="2016"/>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r>
              <w:rPr>
                <w:color w:val="222222"/>
                <w:sz w:val="16"/>
              </w:rPr>
              <w:t>VERIFIED (100% Grounded)</w:t>
            </w:r>
          </w:p>
        </w:tc>
        <w:tc>
          <w:tcPr>
            <w:tcW w:type="dxa" w:w="1152"/>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r>
              <w:rPr>
                <w:color w:val="222222"/>
                <w:sz w:val="16"/>
              </w:rPr>
              <w:t>2.15 ms</w:t>
            </w:r>
          </w:p>
        </w:tc>
      </w:tr>
      <w:tr>
        <w:tc>
          <w:tcPr>
            <w:tcW w:type="dxa" w:w="864"/>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color w:val="222222"/>
                <w:sz w:val="16"/>
              </w:rPr>
              <w:t>SCN-02</w:t>
            </w:r>
          </w:p>
        </w:tc>
        <w:tc>
          <w:tcPr>
            <w:tcW w:type="dxa" w:w="2592"/>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r>
              <w:rPr>
                <w:color w:val="222222"/>
                <w:sz w:val="16"/>
              </w:rPr>
              <w:t>Payload Bit-Tampering</w:t>
            </w:r>
          </w:p>
        </w:tc>
        <w:tc>
          <w:tcPr>
            <w:tcW w:type="dxa" w:w="720"/>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228B22"/>
                <w:sz w:val="16"/>
              </w:rPr>
              <w:t>PASS</w:t>
            </w:r>
          </w:p>
        </w:tc>
        <w:tc>
          <w:tcPr>
            <w:tcW w:type="dxa" w:w="720"/>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B22222"/>
                <w:sz w:val="16"/>
              </w:rPr>
              <w:t>FAIL</w:t>
            </w:r>
          </w:p>
        </w:tc>
        <w:tc>
          <w:tcPr>
            <w:tcW w:type="dxa" w:w="720"/>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228B22"/>
                <w:sz w:val="16"/>
              </w:rPr>
              <w:t>PASS</w:t>
            </w:r>
          </w:p>
        </w:tc>
        <w:tc>
          <w:tcPr>
            <w:tcW w:type="dxa" w:w="720"/>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B22222"/>
                <w:sz w:val="16"/>
              </w:rPr>
              <w:t>FAIL</w:t>
            </w:r>
          </w:p>
        </w:tc>
        <w:tc>
          <w:tcPr>
            <w:tcW w:type="dxa" w:w="720"/>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B22222"/>
                <w:sz w:val="16"/>
              </w:rPr>
              <w:t>FAIL</w:t>
            </w:r>
          </w:p>
        </w:tc>
        <w:tc>
          <w:tcPr>
            <w:tcW w:type="dxa" w:w="2016"/>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r>
              <w:rPr>
                <w:color w:val="222222"/>
                <w:sz w:val="16"/>
              </w:rPr>
              <w:t>BLOCKED (Gate 2 Tampered)</w:t>
            </w:r>
          </w:p>
        </w:tc>
        <w:tc>
          <w:tcPr>
            <w:tcW w:type="dxa" w:w="1152"/>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r>
              <w:rPr>
                <w:color w:val="222222"/>
                <w:sz w:val="16"/>
              </w:rPr>
              <w:t>0.86 ms (&lt;29.9 ms)</w:t>
            </w:r>
          </w:p>
        </w:tc>
      </w:tr>
      <w:tr>
        <w:tc>
          <w:tcPr>
            <w:tcW w:type="dxa" w:w="864"/>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color w:val="222222"/>
                <w:sz w:val="16"/>
              </w:rPr>
              <w:t>SCN-03</w:t>
            </w:r>
          </w:p>
        </w:tc>
        <w:tc>
          <w:tcPr>
            <w:tcW w:type="dxa" w:w="2592"/>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r>
              <w:rPr>
                <w:color w:val="222222"/>
                <w:sz w:val="16"/>
              </w:rPr>
              <w:t>Lazy Cluster Omission</w:t>
            </w:r>
          </w:p>
        </w:tc>
        <w:tc>
          <w:tcPr>
            <w:tcW w:type="dxa" w:w="720"/>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228B22"/>
                <w:sz w:val="16"/>
              </w:rPr>
              <w:t>PASS</w:t>
            </w:r>
          </w:p>
        </w:tc>
        <w:tc>
          <w:tcPr>
            <w:tcW w:type="dxa" w:w="720"/>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228B22"/>
                <w:sz w:val="16"/>
              </w:rPr>
              <w:t>PASS</w:t>
            </w:r>
          </w:p>
        </w:tc>
        <w:tc>
          <w:tcPr>
            <w:tcW w:type="dxa" w:w="720"/>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B22222"/>
                <w:sz w:val="16"/>
              </w:rPr>
              <w:t>FAIL</w:t>
            </w:r>
          </w:p>
        </w:tc>
        <w:tc>
          <w:tcPr>
            <w:tcW w:type="dxa" w:w="720"/>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228B22"/>
                <w:sz w:val="16"/>
              </w:rPr>
              <w:t>PASS</w:t>
            </w:r>
          </w:p>
        </w:tc>
        <w:tc>
          <w:tcPr>
            <w:tcW w:type="dxa" w:w="720"/>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B22222"/>
                <w:sz w:val="16"/>
              </w:rPr>
              <w:t>FAIL</w:t>
            </w:r>
          </w:p>
        </w:tc>
        <w:tc>
          <w:tcPr>
            <w:tcW w:type="dxa" w:w="2016"/>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r>
              <w:rPr>
                <w:color w:val="222222"/>
                <w:sz w:val="16"/>
              </w:rPr>
              <w:t>BLOCKED (Gate 3 Incomplete)</w:t>
            </w:r>
          </w:p>
        </w:tc>
        <w:tc>
          <w:tcPr>
            <w:tcW w:type="dxa" w:w="1152"/>
            <w:shd w:fill="F8FAFC"/>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r>
              <w:rPr>
                <w:color w:val="222222"/>
                <w:sz w:val="16"/>
              </w:rPr>
              <w:t>0.45 ms (&lt;27.2 ms)</w:t>
            </w:r>
          </w:p>
        </w:tc>
      </w:tr>
      <w:tr>
        <w:tc>
          <w:tcPr>
            <w:tcW w:type="dxa" w:w="864"/>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color w:val="222222"/>
                <w:sz w:val="16"/>
              </w:rPr>
              <w:t>SCN-04</w:t>
            </w:r>
          </w:p>
        </w:tc>
        <w:tc>
          <w:tcPr>
            <w:tcW w:type="dxa" w:w="2592"/>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r>
              <w:rPr>
                <w:color w:val="222222"/>
                <w:sz w:val="16"/>
              </w:rPr>
              <w:t>Cross-Tenant Intrusion</w:t>
            </w:r>
          </w:p>
        </w:tc>
        <w:tc>
          <w:tcPr>
            <w:tcW w:type="dxa" w:w="720"/>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B22222"/>
                <w:sz w:val="16"/>
              </w:rPr>
              <w:t>FAIL</w:t>
            </w:r>
          </w:p>
        </w:tc>
        <w:tc>
          <w:tcPr>
            <w:tcW w:type="dxa" w:w="720"/>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B22222"/>
                <w:sz w:val="16"/>
              </w:rPr>
              <w:t>FAIL</w:t>
            </w:r>
          </w:p>
        </w:tc>
        <w:tc>
          <w:tcPr>
            <w:tcW w:type="dxa" w:w="720"/>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228B22"/>
                <w:sz w:val="16"/>
              </w:rPr>
              <w:t>PASS</w:t>
            </w:r>
          </w:p>
        </w:tc>
        <w:tc>
          <w:tcPr>
            <w:tcW w:type="dxa" w:w="720"/>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B22222"/>
                <w:sz w:val="16"/>
              </w:rPr>
              <w:t>FAIL</w:t>
            </w:r>
          </w:p>
        </w:tc>
        <w:tc>
          <w:tcPr>
            <w:tcW w:type="dxa" w:w="720"/>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pPr>
              <w:jc w:val="center"/>
            </w:pPr>
            <w:r>
              <w:rPr>
                <w:b/>
                <w:color w:val="B22222"/>
                <w:sz w:val="16"/>
              </w:rPr>
              <w:t>FAIL</w:t>
            </w:r>
          </w:p>
        </w:tc>
        <w:tc>
          <w:tcPr>
            <w:tcW w:type="dxa" w:w="2016"/>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r>
              <w:rPr>
                <w:color w:val="222222"/>
                <w:sz w:val="16"/>
              </w:rPr>
              <w:t>BLOCKED (Gate 1 ACL Denied)</w:t>
            </w:r>
          </w:p>
        </w:tc>
        <w:tc>
          <w:tcPr>
            <w:tcW w:type="dxa" w:w="1152"/>
            <w:shd w:fill="FFFFFF"/>
            <w:tcBorders>
              <w:top w:val="single" w:sz="4" w:space="0" w:color="E2E8F0"/>
              <w:left w:val="none" w:sz="4" w:space="0" w:color="none"/>
              <w:bottom w:val="single" w:sz="4" w:space="0" w:color="E2E8F0"/>
              <w:right w:val="none" w:sz="4" w:space="0" w:color="none"/>
            </w:tcBorders>
            <w:tcMar>
              <w:top w:w="50" w:type="dxa"/>
              <w:bottom w:w="50" w:type="dxa"/>
              <w:left w:w="50" w:type="dxa"/>
              <w:right w:w="50" w:type="dxa"/>
            </w:tcMar>
          </w:tcPr>
          <w:p>
            <w:r>
              <w:rPr>
                <w:color w:val="222222"/>
                <w:sz w:val="16"/>
              </w:rPr>
              <w:t>0.15 ms (&lt;26.0 ms)</w:t>
            </w:r>
          </w:p>
        </w:tc>
      </w:tr>
    </w:tbl>
    <w:p>
      <w:pPr>
        <w:spacing w:after="160"/>
      </w:pPr>
    </w:p>
    <w:p>
      <w:pPr>
        <w:pStyle w:val="Heading2"/>
        <w:keepNext/>
        <w:spacing w:before="280" w:after="80"/>
      </w:pPr>
      <w:r>
        <w:rPr>
          <w:rFonts w:ascii="Calibri" w:hAnsi="Calibri"/>
          <w:b/>
          <w:color w:val="4B6B94"/>
          <w:sz w:val="26"/>
        </w:rPr>
        <w:t>5.4 DISCUSSION, SUSTAINABILITY, LIMITATIONS, AND CONCLUSION</w:t>
      </w:r>
    </w:p>
    <w:p>
      <w:pPr>
        <w:pStyle w:val="ListBullet"/>
        <w:spacing w:line="276" w:lineRule="auto" w:after="60"/>
      </w:pPr>
      <w:r>
        <w:rPr>
          <w:b/>
          <w:color w:val="1B365D"/>
        </w:rPr>
        <w:t xml:space="preserve">Sustainability: </w:t>
      </w:r>
      <w:r>
        <w:t>Eliminating ZK arithmetic circuits reduces verification energy from &gt;500 Joules to &lt;0.5 Joules per query (1000x carbon reduction).</w:t>
      </w:r>
    </w:p>
    <w:p>
      <w:pPr>
        <w:pStyle w:val="ListBullet"/>
        <w:spacing w:line="276" w:lineRule="auto" w:after="60"/>
      </w:pPr>
      <w:r>
        <w:rPr>
          <w:b/>
          <w:color w:val="1B365D"/>
        </w:rPr>
        <w:t xml:space="preserve">Limitations: </w:t>
      </w:r>
      <w:r>
        <w:t>Periodic K-Means re-clustering is required as the corpus expands significantly. Future work explores online streaming K-Means and HSM key anchoring.</w:t>
      </w:r>
    </w:p>
    <w:p>
      <w:pPr>
        <w:pStyle w:val="ListBullet"/>
        <w:spacing w:line="276" w:lineRule="auto" w:after="60"/>
      </w:pPr>
      <w:r>
        <w:rPr>
          <w:b/>
          <w:color w:val="1B365D"/>
        </w:rPr>
        <w:t xml:space="preserve">Conclusion: </w:t>
      </w:r>
      <w:r>
        <w:t>The Asymmetric Verification Framework proves that cloud RAG can achieve strict confidentiality, integrity, and completeness in 2.15 ms, delivering a viable foundation for secure enterprise AI.</w:t>
      </w:r>
    </w:p>
    <w:p>
      <w:r>
        <w:br w:type="page"/>
      </w:r>
    </w:p>
    <w:p>
      <w:pPr>
        <w:pStyle w:val="Heading1"/>
        <w:keepNext/>
        <w:spacing w:before="360" w:after="120"/>
      </w:pPr>
      <w:r>
        <w:rPr>
          <w:rFonts w:ascii="Calibri" w:hAnsi="Calibri"/>
          <w:b/>
          <w:color w:val="1B365D"/>
          <w:sz w:val="32"/>
        </w:rPr>
        <w:t>REFERENCES</w:t>
      </w:r>
    </w:p>
    <w:p>
      <w:pPr>
        <w:spacing w:line="276" w:lineRule="auto" w:after="80"/>
        <w:ind w:left="432" w:hanging="432"/>
      </w:pPr>
      <w:r>
        <w:rPr>
          <w:color w:val="222222"/>
          <w:sz w:val="19"/>
        </w:rPr>
        <w:t>[1] P. Lewis et al., 'Retrieval-augmented generation for knowledge-intensive NLP tasks,' in Advances in Neural Information Processing Systems (NeurIPS), vol. 33, pp. 9459-9474, 2020.</w:t>
      </w:r>
    </w:p>
    <w:p>
      <w:pPr>
        <w:spacing w:line="276" w:lineRule="auto" w:after="80"/>
        <w:ind w:left="432" w:hanging="432"/>
      </w:pPr>
      <w:r>
        <w:rPr>
          <w:color w:val="222222"/>
          <w:sz w:val="19"/>
        </w:rPr>
        <w:t>[2] C. Guan and X. Wei, 'A survey of healthcare RAG architectures and privacy mechanisms,' arXiv preprint arXiv:2511.11347, 2025.</w:t>
      </w:r>
    </w:p>
    <w:p>
      <w:pPr>
        <w:spacing w:line="276" w:lineRule="auto" w:after="80"/>
        <w:ind w:left="432" w:hanging="432"/>
      </w:pPr>
      <w:r>
        <w:rPr>
          <w:color w:val="222222"/>
          <w:sz w:val="19"/>
        </w:rPr>
        <w:t>[3] J. Johnson, M. Douze, and H. Jégou, 'Billion-scale similarity search with GPUs,' IEEE Transactions on Big Data, vol. 7, no. 3, pp. 535-547, 2021.</w:t>
      </w:r>
    </w:p>
    <w:p>
      <w:pPr>
        <w:spacing w:line="276" w:lineRule="auto" w:after="80"/>
        <w:ind w:left="432" w:hanging="432"/>
      </w:pPr>
      <w:r>
        <w:rPr>
          <w:color w:val="222222"/>
          <w:sz w:val="19"/>
        </w:rPr>
        <w:t>[4] Y. A. Malkov and D. A. Yashunin, 'Efficient and robust approximate nearest neighbor search using Hierarchical Navigable Small World graphs,' IEEE Transactions on Pattern Analysis and Machine Intelligence, vol. 42, no. 4, pp. 824-836, 2020.</w:t>
      </w:r>
    </w:p>
    <w:p>
      <w:pPr>
        <w:spacing w:line="276" w:lineRule="auto" w:after="80"/>
        <w:ind w:left="432" w:hanging="432"/>
      </w:pPr>
      <w:r>
        <w:rPr>
          <w:color w:val="222222"/>
          <w:sz w:val="19"/>
        </w:rPr>
        <w:t>[5] S. Sharma et al., 'Security and privacy in retrieval-augmented generation: Architectures, threats, and defenses – a comprehensive survey,' arXiv preprint arXiv:2606.25533, 2026.</w:t>
      </w:r>
    </w:p>
    <w:p>
      <w:pPr>
        <w:spacing w:line="276" w:lineRule="auto" w:after="80"/>
        <w:ind w:left="432" w:hanging="432"/>
      </w:pPr>
      <w:r>
        <w:rPr>
          <w:color w:val="222222"/>
          <w:sz w:val="19"/>
        </w:rPr>
        <w:t>[6] J. X. Morris, V. Kuleshov, V. Shmatikov, and A. M. Rush, 'Text embeddings reveal (almost) as much as text,' in Proceedings of the 2023 Conference on Empirical Methods in Natural Language Processing (EMNLP), Singapore, pp. 12448-12460, 2023.</w:t>
      </w:r>
    </w:p>
    <w:p>
      <w:pPr>
        <w:spacing w:line="276" w:lineRule="auto" w:after="80"/>
        <w:ind w:left="432" w:hanging="432"/>
      </w:pPr>
      <w:r>
        <w:rPr>
          <w:color w:val="222222"/>
          <w:sz w:val="19"/>
        </w:rPr>
        <w:t>[7] Y. Li, G. Liu, C. Wang, and Y. Yang, 'Generating is believing: Membership inference attacks against retrieval-augmented generation,' in IEEE International Conference on Acoustics, Speech and Signal Processing (ICASSP), 2025.</w:t>
      </w:r>
    </w:p>
    <w:p>
      <w:pPr>
        <w:spacing w:line="276" w:lineRule="auto" w:after="80"/>
        <w:ind w:left="432" w:hanging="432"/>
      </w:pPr>
      <w:r>
        <w:rPr>
          <w:color w:val="222222"/>
          <w:sz w:val="19"/>
        </w:rPr>
        <w:t>[8] C. Lin, Y. Cui, Z. Zhou, C. Hong, Y. Wang, Z. Chen, and M. Li, 'VeriRAG: Efficient zero-knowledge proofs for verifiable retrieval-augmented generation,' IACR Cryptology ePrint Archive, Report 2026/637, 2026.</w:t>
      </w:r>
    </w:p>
    <w:p>
      <w:pPr>
        <w:spacing w:line="276" w:lineRule="auto" w:after="80"/>
        <w:ind w:left="432" w:hanging="432"/>
      </w:pPr>
      <w:r>
        <w:rPr>
          <w:color w:val="222222"/>
          <w:sz w:val="19"/>
        </w:rPr>
        <w:t>[9] Z. Qiu, W. Qu, J. Zhang, and B. Yuan, 'V3DB: Audit-on-demand zero-knowledge proofs for verifiable vector search over committed snapshots,' arXiv preprint arXiv:2603.03065, 2026.</w:t>
      </w:r>
    </w:p>
    <w:p>
      <w:pPr>
        <w:spacing w:line="276" w:lineRule="auto" w:after="80"/>
        <w:ind w:left="432" w:hanging="432"/>
      </w:pPr>
      <w:r>
        <w:rPr>
          <w:color w:val="222222"/>
          <w:sz w:val="19"/>
        </w:rPr>
        <w:t>[10] Y. Jiang, X. Yang, X. Liu, Y. Guo, and J. Zhang, 'zkRAG: Efficiently proving RAG retrieval in zero knowledge,' IACR Cryptology ePrint Archive, Report 2026/709, 2026.</w:t>
      </w:r>
    </w:p>
    <w:p>
      <w:pPr>
        <w:spacing w:line="276" w:lineRule="auto" w:after="80"/>
        <w:ind w:left="432" w:hanging="432"/>
      </w:pPr>
      <w:r>
        <w:rPr>
          <w:color w:val="222222"/>
          <w:sz w:val="19"/>
        </w:rPr>
        <w:t>[11] S. Xiao et al., 'C-Pack: Packaged resources for general Chinese embeddings,' arXiv preprint arXiv:2309.07597, 2023.</w:t>
      </w:r>
    </w:p>
    <w:p>
      <w:pPr>
        <w:spacing w:line="276" w:lineRule="auto" w:after="80"/>
        <w:ind w:left="432" w:hanging="432"/>
      </w:pPr>
      <w:r>
        <w:rPr>
          <w:color w:val="222222"/>
          <w:sz w:val="19"/>
        </w:rPr>
        <w:t>[12] M. Dworkin, 'Recommendation for Block Cipher Modes of Operation: Galois/Counter Mode (GCM) and GMAC,' NIST Special Publication 800-38D, National Institute of Standards and Technology, 2007.</w:t>
      </w:r>
    </w:p>
    <w:p>
      <w:pPr>
        <w:spacing w:line="276" w:lineRule="auto" w:after="80"/>
        <w:ind w:left="432" w:hanging="432"/>
      </w:pPr>
      <w:r>
        <w:rPr>
          <w:color w:val="222222"/>
          <w:sz w:val="19"/>
        </w:rPr>
        <w:t>[13] S. A. Crosby and D. S. Wallach, 'Efficient data structures for tamper-evident logging,' in Proceedings of the USENIX Security Symposium, pp. 317-334, 2009.</w:t>
      </w:r>
    </w:p>
    <w:p>
      <w:pPr>
        <w:spacing w:line="276" w:lineRule="auto" w:after="80"/>
        <w:ind w:left="432" w:hanging="432"/>
      </w:pPr>
      <w:r>
        <w:rPr>
          <w:color w:val="222222"/>
          <w:sz w:val="19"/>
        </w:rPr>
        <w:t>[14] P. Todd, 'Merkle Mountain Ranges,' Github Repository Specification, 2018.</w:t>
      </w:r>
    </w:p>
    <w:p>
      <w:pPr>
        <w:spacing w:line="276" w:lineRule="auto" w:after="80"/>
        <w:ind w:left="432" w:hanging="432"/>
      </w:pPr>
      <w:r>
        <w:rPr>
          <w:color w:val="222222"/>
          <w:sz w:val="19"/>
        </w:rPr>
        <w:t>[15] A. Asai et al., 'Self-RAG: Learning to retrieve, generate, and critique through self-reflection,' in Proceedings of the International Conference on Learning Representations (ICLR), 2024.</w:t>
      </w:r>
    </w:p>
    <w:p>
      <w:pPr>
        <w:spacing w:line="276" w:lineRule="auto" w:after="80"/>
        <w:ind w:left="432" w:hanging="432"/>
      </w:pPr>
      <w:r>
        <w:rPr>
          <w:color w:val="222222"/>
          <w:sz w:val="19"/>
        </w:rPr>
        <w:t>[16] S. Q. Yan et al., 'Corrective Retrieval Augmented Generation,' arXiv preprint arXiv:2401.15884, 2024.</w:t>
      </w:r>
    </w:p>
    <w:p>
      <w:pPr>
        <w:spacing w:line="276" w:lineRule="auto" w:after="80"/>
        <w:ind w:left="432" w:hanging="432"/>
      </w:pPr>
      <w:r>
        <w:rPr>
          <w:color w:val="222222"/>
          <w:sz w:val="19"/>
        </w:rPr>
        <w:t>[17] R. Agrawal et al., 'Order-preserving encryption for numeric data,' in Proceedings of the ACM SIGMOD International Conference on Management of Data, pp. 563-574, 2004.</w:t>
      </w:r>
    </w:p>
    <w:p>
      <w:pPr>
        <w:spacing w:line="276" w:lineRule="auto" w:after="80"/>
        <w:ind w:left="432" w:hanging="432"/>
      </w:pPr>
      <w:r>
        <w:rPr>
          <w:color w:val="222222"/>
          <w:sz w:val="19"/>
        </w:rPr>
        <w:t>[18] J. H. Cheon et al., 'Homomorphic encryption for arithmetic of approximate numbers,' in Advances in Cryptology - ASIACRYPT, pp. 409-437, 2017.</w:t>
      </w:r>
    </w:p>
    <w:p>
      <w:pPr>
        <w:spacing w:line="276" w:lineRule="auto" w:after="80"/>
        <w:ind w:left="432" w:hanging="432"/>
      </w:pPr>
      <w:r>
        <w:rPr>
          <w:color w:val="222222"/>
          <w:sz w:val="19"/>
        </w:rPr>
        <w:t>[19] G. H. Golub and C. F. Van Loan, Matrix Computations, 4th ed. Baltimore, MD: Johns Hopkins University Press, 2013.</w:t>
      </w:r>
    </w:p>
    <w:p>
      <w:pPr>
        <w:spacing w:line="276" w:lineRule="auto" w:after="80"/>
        <w:ind w:left="432" w:hanging="432"/>
      </w:pPr>
      <w:r>
        <w:rPr>
          <w:color w:val="222222"/>
          <w:sz w:val="19"/>
        </w:rPr>
        <w:t>[20] J. Groth, 'On the size of pairing-based non-interactive zero-knowledge proofs,' in Advances in Cryptology - EUROCRYPT, pp. 305-326, 2016.</w:t>
      </w:r>
    </w:p>
    <w:p>
      <w:pPr>
        <w:spacing w:line="276" w:lineRule="auto" w:after="80"/>
        <w:ind w:left="432" w:hanging="432"/>
      </w:pPr>
      <w:r>
        <w:rPr>
          <w:color w:val="222222"/>
          <w:sz w:val="19"/>
        </w:rPr>
        <w:t>[21] A. Gabizon, Z. J. Williamson, and O. Ciobotaru, 'PLONK: Permutations over Lagrange-bases for Oecumenical Non-interactive arguments of Knowledge,' IACR Cryptology ePrint Archive, Report 2019/953, 2019.</w:t>
      </w:r>
    </w:p>
    <w:p>
      <w:pPr>
        <w:spacing w:line="276" w:lineRule="auto" w:after="80"/>
        <w:ind w:left="432" w:hanging="432"/>
      </w:pPr>
      <w:r>
        <w:rPr>
          <w:color w:val="222222"/>
          <w:sz w:val="19"/>
        </w:rPr>
        <w:t>[22] H. Ye, J. Guo, Z. Liu, and K.-Y. Lam, 'Efficient privacy-preserving retrieval augmented generation with distance-preserving encryption,' arXiv preprint arXiv:2601.12331, 2026.</w:t>
      </w:r>
    </w:p>
    <w:p>
      <w:pPr>
        <w:spacing w:line="276" w:lineRule="auto" w:after="80"/>
        <w:ind w:left="432" w:hanging="432"/>
      </w:pPr>
      <w:r>
        <w:rPr>
          <w:color w:val="222222"/>
          <w:sz w:val="19"/>
        </w:rPr>
        <w:t>[23] N. Grislain, 'RAG with differential privacy,' arXiv preprint arXiv:2412.19291, 2024.</w:t>
      </w:r>
    </w:p>
    <w:p>
      <w:pPr>
        <w:spacing w:line="276" w:lineRule="auto" w:after="80"/>
        <w:ind w:left="432" w:hanging="432"/>
      </w:pPr>
      <w:r>
        <w:rPr>
          <w:color w:val="222222"/>
          <w:sz w:val="19"/>
        </w:rPr>
        <w:t>[24] X. Wei et al., 'Privacy-preserving retrieval-augmented generation for healthcare systems,' arXiv preprint arXiv:2511.11347, 2025.</w:t>
      </w:r>
    </w:p>
    <w:p>
      <w:pPr>
        <w:spacing w:line="276" w:lineRule="auto" w:after="80"/>
        <w:ind w:left="432" w:hanging="432"/>
      </w:pPr>
      <w:r>
        <w:rPr>
          <w:color w:val="222222"/>
          <w:sz w:val="19"/>
        </w:rPr>
        <w:t>[25] X. Li, C. Weng, Y. Xu, X. Wang, and J. Rogers, 'ZKSQL: Verifiable and efficient query evaluation with zero-knowledge proofs,' Proceedings of the VLDB Endowment, vol. 16, no. 8, pp. 1804-1816, 2023.</w:t>
      </w:r>
    </w:p>
    <w:p>
      <w:pPr>
        <w:spacing w:line="276" w:lineRule="auto" w:after="80"/>
        <w:ind w:left="432" w:hanging="432"/>
      </w:pPr>
      <w:r>
        <w:rPr>
          <w:color w:val="222222"/>
          <w:sz w:val="19"/>
        </w:rPr>
        <w:t>[26] H. Wu, C. Wei, Y. Wang, L. Lin, and Y. Leng, 'Zero-knowledge verifiable graph query evaluation via expansion-centric operator decomposition,' arXiv preprint arXiv:2507.00427,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