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B5E3A"/>
          <w:sz w:val="44"/>
          <w:szCs w:val="44"/>
        </w:rPr>
        <w:t xml:space="preserve">PRISM — Pitch Script</w:t>
      </w:r>
    </w:p>
    <w:p>
      <w:pPr>
        <w:pBdr>
          <w:bottom w:val="single" w:color="AAAAAA" w:sz="4" w:space="6"/>
        </w:pBdr>
        <w:spacing w:after="240"/>
      </w:pPr>
      <w:r>
        <w:rPr>
          <w:i/>
          <w:iCs/>
          <w:color w:val="2E9E6B"/>
          <w:sz w:val="24"/>
          <w:szCs w:val="24"/>
        </w:rPr>
        <w:t xml:space="preserve">Slide-by-slide narration for the SIH 2026 presentation (PS #26196)</w:t>
      </w:r>
    </w:p>
    <w:p>
      <w:pPr>
        <w:spacing w:after="140"/>
        <w:jc w:val="both"/>
      </w:pPr>
      <w:r>
        <w:t xml:space="preserve">This is a spoken pitch script, not slide text — read it as a presenter would say it out loud. It's written to hook the judges early, build tension around the problem, and land PRISM as the inevitable answer. Suggested total time: 6–7 minutes across all 6 slides.</w:t>
      </w:r>
    </w:p>
    <w:p>
      <w:pPr>
        <w:pStyle w:val="Heading1"/>
        <w:spacing w:after="160" w:before="340"/>
      </w:pPr>
      <w:r>
        <w:t xml:space="preserve">Slide 1 — Title: “See Your Future Health Before It Happens”</w:t>
      </w:r>
    </w:p>
    <w:p>
      <w:pPr>
        <w:pBdr>
          <w:left w:val="single" w:color="2E9E6B" w:sz="18" w:space="8"/>
        </w:pBdr>
        <w:spacing w:after="160" w:before="80"/>
        <w:ind w:left="360"/>
      </w:pPr>
      <w:r>
        <w:rPr>
          <w:i/>
          <w:iCs/>
          <w:color w:val="222222"/>
          <w:sz w:val="24"/>
          <w:szCs w:val="24"/>
        </w:rPr>
        <w:t xml:space="preserve">“What if you could see a heart attack coming—three years before it happened? Not a guess. Not a generic risk chart. An actual simulation of your own body, showing you exactly where you're headed—and how to change course. That's PRISM.”</w:t>
      </w:r>
    </w:p>
    <w:p>
      <w:pPr>
        <w:spacing w:after="140"/>
        <w:jc w:val="both"/>
      </w:pPr>
      <w:r>
        <w:t xml:space="preserve">Follow-up line, said slower for effect:</w:t>
      </w:r>
    </w:p>
    <w:p>
      <w:pPr>
        <w:pBdr>
          <w:left w:val="single" w:color="2E9E6B" w:sz="18" w:space="8"/>
        </w:pBdr>
        <w:spacing w:after="160" w:before="80"/>
        <w:ind w:left="360"/>
      </w:pPr>
      <w:r>
        <w:rPr>
          <w:i/>
          <w:iCs/>
          <w:color w:val="222222"/>
          <w:sz w:val="24"/>
          <w:szCs w:val="24"/>
        </w:rPr>
        <w:t xml:space="preserve">“PRISM—the Predictive Representation of Individual System Model. Today, we're going to show you how we turn healthcare from something that happens TO you, into something you can see coming.”</w:t>
      </w:r>
    </w:p>
    <w:p>
      <w:pPr>
        <w:spacing w:after="200" w:before="60"/>
      </w:pPr>
      <w:r>
        <w:rPr>
          <w:b/>
          <w:bCs/>
          <w:color w:val="2E9E6B"/>
          <w:sz w:val="20"/>
          <w:szCs w:val="20"/>
        </w:rPr>
        <w:t xml:space="preserve">Delivery tip: </w:t>
      </w:r>
      <w:r>
        <w:rPr>
          <w:i/>
          <w:iCs/>
          <w:color w:val="555555"/>
          <w:sz w:val="20"/>
          <w:szCs w:val="20"/>
        </w:rPr>
        <w:t xml:space="preserve">Pause after ‘That's PRISM.’ Let the title card sit on screen for a second before you move on. This is your hook — don't rush it.</w:t>
      </w:r>
    </w:p>
    <w:p>
      <w:pPr>
        <w:pStyle w:val="Heading1"/>
        <w:spacing w:after="160" w:before="340"/>
      </w:pPr>
      <w:r>
        <w:t xml:space="preserve">Slide 2 — The Problem: Healthcare Is Broken By Design</w:t>
      </w:r>
    </w:p>
    <w:p>
      <w:pPr>
        <w:pBdr>
          <w:left w:val="single" w:color="2E9E6B" w:sz="18" w:space="8"/>
        </w:pBdr>
        <w:spacing w:after="160" w:before="80"/>
        <w:ind w:left="360"/>
      </w:pPr>
      <w:r>
        <w:rPr>
          <w:i/>
          <w:iCs/>
          <w:color w:val="222222"/>
          <w:sz w:val="24"/>
          <w:szCs w:val="24"/>
        </w:rPr>
        <w:t xml:space="preserve">“Here's the uncomfortable truth: modern healthcare only shows up after something's already gone wrong. You feel a symptom, you book an appointment, you get a diagnosis—and by then, the damage is already done. We treat disease. We almost never prevent it.”</w:t>
      </w:r>
    </w:p>
    <w:p>
      <w:pPr>
        <w:spacing w:after="140"/>
        <w:jc w:val="both"/>
      </w:pPr>
      <w:r>
        <w:t xml:space="preserve">Then walk through the three pain points as a build, not a list:</w:t>
      </w:r>
    </w:p>
    <w:p>
      <w:pPr>
        <w:pBdr>
          <w:left w:val="single" w:color="2E9E6B" w:sz="18" w:space="8"/>
        </w:pBdr>
        <w:spacing w:after="160" w:before="80"/>
        <w:ind w:left="360"/>
      </w:pPr>
      <w:r>
        <w:rPr>
          <w:i/>
          <w:iCs/>
          <w:color w:val="222222"/>
          <w:sz w:val="24"/>
          <w:szCs w:val="24"/>
        </w:rPr>
        <w:t xml:space="preserve">“First—it's reactive, not preventive. Second—every one of us makes daily choices, what we eat, how we sleep, how much we move—with zero visibility into what those choices are doing to our bodies right now. And third—there's no tool today, anywhere, that actually simulates your future health based on how you're living today. Nothing connects the dots for you.”</w:t>
      </w:r>
    </w:p>
    <w:p>
      <w:pPr>
        <w:pBdr>
          <w:left w:val="single" w:color="2E9E6B" w:sz="18" w:space="8"/>
        </w:pBdr>
        <w:spacing w:after="160" w:before="80"/>
        <w:ind w:left="360"/>
      </w:pPr>
      <w:r>
        <w:rPr>
          <w:i/>
          <w:iCs/>
          <w:color w:val="222222"/>
          <w:sz w:val="24"/>
          <w:szCs w:val="24"/>
        </w:rPr>
        <w:t xml:space="preserve">“That gap—between how we live and what it does to us—is exactly the gap PRISM was built to close.”</w:t>
      </w:r>
    </w:p>
    <w:p>
      <w:pPr>
        <w:spacing w:after="200" w:before="60"/>
      </w:pPr>
      <w:r>
        <w:rPr>
          <w:b/>
          <w:bCs/>
          <w:color w:val="2E9E6B"/>
          <w:sz w:val="20"/>
          <w:szCs w:val="20"/>
        </w:rPr>
        <w:t xml:space="preserve">Delivery tip: </w:t>
      </w:r>
      <w:r>
        <w:rPr>
          <w:i/>
          <w:iCs/>
          <w:color w:val="555555"/>
          <w:sz w:val="20"/>
          <w:szCs w:val="20"/>
        </w:rPr>
        <w:t xml:space="preserve">Use your fingers to count ‘first, second, third’ — it visually reinforces the structure and gives you natural pacing beats.</w:t>
      </w:r>
    </w:p>
    <w:p>
      <w:pPr>
        <w:pStyle w:val="Heading1"/>
        <w:spacing w:after="160" w:before="340"/>
      </w:pPr>
      <w:r>
        <w:t xml:space="preserve">Slide 3 — The Solution: Introducing PRISM</w:t>
      </w:r>
    </w:p>
    <w:p>
      <w:pPr>
        <w:pBdr>
          <w:left w:val="single" w:color="2E9E6B" w:sz="18" w:space="8"/>
        </w:pBdr>
        <w:spacing w:after="160" w:before="80"/>
        <w:ind w:left="360"/>
      </w:pPr>
      <w:r>
        <w:rPr>
          <w:i/>
          <w:iCs/>
          <w:color w:val="222222"/>
          <w:sz w:val="24"/>
          <w:szCs w:val="24"/>
        </w:rPr>
        <w:t xml:space="preserve">“PRISM is an AI-powered physiological simulation engine. In plain terms: it builds a living, digital model of your body, and it projects what happens next—based on your actual lifestyle and biometric data, not population averages.”</w:t>
      </w:r>
    </w:p>
    <w:p>
      <w:pPr>
        <w:spacing w:after="140"/>
        <w:jc w:val="both"/>
      </w:pPr>
      <w:r>
        <w:t xml:space="preserve">Land the core reframe clearly — this is your thesis statement:</w:t>
      </w:r>
    </w:p>
    <w:p>
      <w:pPr>
        <w:pBdr>
          <w:left w:val="single" w:color="2E9E6B" w:sz="18" w:space="8"/>
        </w:pBdr>
        <w:spacing w:after="160" w:before="80"/>
        <w:ind w:left="360"/>
      </w:pPr>
      <w:r>
        <w:rPr>
          <w:i/>
          <w:iCs/>
          <w:color w:val="222222"/>
          <w:sz w:val="24"/>
          <w:szCs w:val="24"/>
        </w:rPr>
        <w:t xml:space="preserve">“This is the shift from reaction to prediction. From treating disease, to preventing it entirely. And it happens in three steps: we ingest your lifestyle and biometric data, we simulate your future health trajectory, and we deliver risk predictions you can actually act on—today.”</w:t>
      </w:r>
    </w:p>
    <w:p>
      <w:pPr>
        <w:spacing w:after="200" w:before="60"/>
      </w:pPr>
      <w:r>
        <w:rPr>
          <w:b/>
          <w:bCs/>
          <w:color w:val="2E9E6B"/>
          <w:sz w:val="20"/>
          <w:szCs w:val="20"/>
        </w:rPr>
        <w:t xml:space="preserve">Delivery tip: </w:t>
      </w:r>
      <w:r>
        <w:rPr>
          <w:i/>
          <w:iCs/>
          <w:color w:val="555555"/>
          <w:sz w:val="20"/>
          <w:szCs w:val="20"/>
        </w:rPr>
        <w:t xml:space="preserve">Say ‘reaction to prediction’ slowly and let it land — it's the single sentence you want judges repeating back to you in Q&amp;A.</w:t>
      </w:r>
    </w:p>
    <w:p>
      <w:pPr>
        <w:pStyle w:val="Heading1"/>
        <w:spacing w:after="160" w:before="340"/>
      </w:pPr>
      <w:r>
        <w:t xml:space="preserve">Slide 4 — What Makes PRISM Different</w:t>
      </w:r>
    </w:p>
    <w:p>
      <w:pPr>
        <w:pBdr>
          <w:left w:val="single" w:color="2E9E6B" w:sz="18" w:space="8"/>
        </w:pBdr>
        <w:spacing w:after="160" w:before="80"/>
        <w:ind w:left="360"/>
      </w:pPr>
      <w:r>
        <w:rPr>
          <w:i/>
          <w:iCs/>
          <w:color w:val="222222"/>
          <w:sz w:val="24"/>
          <w:szCs w:val="24"/>
        </w:rPr>
        <w:t xml:space="preserve">“Now, you might be thinking—isn't this just another health app? No. And here's exactly why.”</w:t>
      </w:r>
    </w:p>
    <w:p>
      <w:pPr>
        <w:spacing w:after="140"/>
        <w:jc w:val="both"/>
      </w:pPr>
      <w:r>
        <w:t xml:space="preserve">Move through the five differentiators with energy, framing each as a direct contrast to something familiar:</w:t>
      </w:r>
    </w:p>
    <w:p>
      <w:pPr>
        <w:pBdr>
          <w:left w:val="single" w:color="2E9E6B" w:sz="18" w:space="8"/>
        </w:pBdr>
        <w:spacing w:after="160" w:before="80"/>
        <w:ind w:left="360"/>
      </w:pPr>
      <w:r>
        <w:rPr>
          <w:i/>
          <w:iCs/>
          <w:color w:val="222222"/>
          <w:sz w:val="24"/>
          <w:szCs w:val="24"/>
        </w:rPr>
        <w:t xml:space="preserve">“This is not a chatbot answering questions—it's a full simulation engine modeling cause and effect over time. It's not one AI model guessing—it's five specialized agents working together. It doesn't show you today—it projects your health at 1, 3, 6, and 12 months out. You can test a lifestyle change before you make it. And unlike a static report you read once, PRISM is a living digital twin—it updates continuously, for as long as you use it.”</w:t>
      </w:r>
    </w:p>
    <w:p>
      <w:pPr>
        <w:spacing w:after="200" w:before="60"/>
      </w:pPr>
      <w:r>
        <w:rPr>
          <w:b/>
          <w:bCs/>
          <w:color w:val="2E9E6B"/>
          <w:sz w:val="20"/>
          <w:szCs w:val="20"/>
        </w:rPr>
        <w:t xml:space="preserve">Delivery tip: </w:t>
      </w:r>
      <w:r>
        <w:rPr>
          <w:i/>
          <w:iCs/>
          <w:color w:val="555555"/>
          <w:sz w:val="20"/>
          <w:szCs w:val="20"/>
        </w:rPr>
        <w:t xml:space="preserve">This slide has five points — don't read them flat. Pick your favorite two (Simulation Engine + What-If Analysis usually land best) and give those extra emphasis and eye contact.</w:t>
      </w:r>
    </w:p>
    <w:p>
      <w:pPr>
        <w:pStyle w:val="Heading1"/>
        <w:spacing w:after="160" w:before="340"/>
      </w:pPr>
      <w:r>
        <w:t xml:space="preserve">Slide 5 — How PRISM Works (Architecture)</w:t>
      </w:r>
    </w:p>
    <w:p>
      <w:pPr>
        <w:pBdr>
          <w:left w:val="single" w:color="2E9E6B" w:sz="18" w:space="8"/>
        </w:pBdr>
        <w:spacing w:after="160" w:before="80"/>
        <w:ind w:left="360"/>
      </w:pPr>
      <w:r>
        <w:rPr>
          <w:i/>
          <w:iCs/>
          <w:color w:val="222222"/>
          <w:sz w:val="24"/>
          <w:szCs w:val="24"/>
        </w:rPr>
        <w:t xml:space="preserve">“So how does this actually work under the hood? Five AI agents, each with one job, working like a relay team.”</w:t>
      </w:r>
    </w:p>
    <w:p>
      <w:pPr>
        <w:spacing w:after="140"/>
        <w:jc w:val="both"/>
      </w:pPr>
      <w:r>
        <w:t xml:space="preserve">Walk the pipeline like a story, not a spec sheet:</w:t>
      </w:r>
    </w:p>
    <w:p>
      <w:pPr>
        <w:pBdr>
          <w:left w:val="single" w:color="2E9E6B" w:sz="18" w:space="8"/>
        </w:pBdr>
        <w:spacing w:after="160" w:before="80"/>
        <w:ind w:left="360"/>
      </w:pPr>
      <w:r>
        <w:rPr>
          <w:i/>
          <w:iCs/>
          <w:color w:val="222222"/>
          <w:sz w:val="24"/>
          <w:szCs w:val="24"/>
        </w:rPr>
        <w:t xml:space="preserve">“Agent One takes in your data—your biometrics, your habits. Agent Two translates that into an actual physiological model of your body. Agent Three runs the simulation—projecting how your body evolves over time. Agent Four turns that into a real risk score, with confidence intervals, for conditions like diabetes and cardiovascular disease. And Agent Five—the one that talks to you—turns all of that complexity into one clear, human sentence: here's what's coming, and here's what to do about it.”</w:t>
      </w:r>
    </w:p>
    <w:p>
      <w:pPr>
        <w:pBdr>
          <w:left w:val="single" w:color="2E9E6B" w:sz="18" w:space="8"/>
        </w:pBdr>
        <w:spacing w:after="160" w:before="80"/>
        <w:ind w:left="360"/>
      </w:pPr>
      <w:r>
        <w:rPr>
          <w:i/>
          <w:iCs/>
          <w:color w:val="222222"/>
          <w:sz w:val="24"/>
          <w:szCs w:val="24"/>
        </w:rPr>
        <w:t xml:space="preserve">“Input. Mapping. Simulation. Prediction. Explanation. That's the full pipeline—and it runs continuously, every time you log new data.”</w:t>
      </w:r>
    </w:p>
    <w:p>
      <w:pPr>
        <w:spacing w:after="200" w:before="60"/>
      </w:pPr>
      <w:r>
        <w:rPr>
          <w:b/>
          <w:bCs/>
          <w:color w:val="2E9E6B"/>
          <w:sz w:val="20"/>
          <w:szCs w:val="20"/>
        </w:rPr>
        <w:t xml:space="preserve">Delivery tip: </w:t>
      </w:r>
      <w:r>
        <w:rPr>
          <w:i/>
          <w:iCs/>
          <w:color w:val="555555"/>
          <w:sz w:val="20"/>
          <w:szCs w:val="20"/>
        </w:rPr>
        <w:t xml:space="preserve">Say the five agent names as a rhythmic list at the end — ‘Input, Mapping, Simulation, Prediction, Explanation’ — it's memorable and sounds architected, not improvised.</w:t>
      </w:r>
    </w:p>
    <w:p>
      <w:pPr>
        <w:pStyle w:val="Heading1"/>
        <w:spacing w:after="160" w:before="340"/>
      </w:pPr>
      <w:r>
        <w:t xml:space="preserve">Slide 6 — Impact &amp; The Road Ahead</w:t>
      </w:r>
    </w:p>
    <w:p>
      <w:pPr>
        <w:pBdr>
          <w:left w:val="single" w:color="2E9E6B" w:sz="18" w:space="8"/>
        </w:pBdr>
        <w:spacing w:after="160" w:before="80"/>
        <w:ind w:left="360"/>
      </w:pPr>
      <w:r>
        <w:rPr>
          <w:i/>
          <w:iCs/>
          <w:color w:val="222222"/>
          <w:sz w:val="24"/>
          <w:szCs w:val="24"/>
        </w:rPr>
        <w:t xml:space="preserve">“Let's talk about what this actually means at scale. If we can show someone their diabetes risk trajectory a year before symptoms appear—we're not just building an app. We're rewriting when healthcare intervention happens.”</w:t>
      </w:r>
    </w:p>
    <w:p>
      <w:pPr>
        <w:spacing w:after="140"/>
        <w:jc w:val="both"/>
      </w:pPr>
      <w:r>
        <w:t xml:space="preserve">Bring in the scale argument, then close on vision:</w:t>
      </w:r>
    </w:p>
    <w:p>
      <w:pPr>
        <w:pBdr>
          <w:left w:val="single" w:color="2E9E6B" w:sz="18" w:space="8"/>
        </w:pBdr>
        <w:spacing w:after="160" w:before="80"/>
        <w:ind w:left="360"/>
      </w:pPr>
      <w:r>
        <w:rPr>
          <w:i/>
          <w:iCs/>
          <w:color w:val="222222"/>
          <w:sz w:val="24"/>
          <w:szCs w:val="24"/>
        </w:rPr>
        <w:t xml:space="preserve">“This is built cloud-native, from day one—meant to serve individuals, clinics, and full health systems, not just one user on one phone. And our roadmap is clear: wearable integration, real-time tracking, an AI health coach, and ultimately, medicine personalized to your unique physiology—not population averages.”</w:t>
      </w:r>
    </w:p>
    <w:p>
      <w:pPr>
        <w:spacing w:after="140"/>
        <w:jc w:val="both"/>
      </w:pPr>
      <w:r>
        <w:t xml:space="preserve">End on the tagline — said with full conviction, holding for a beat before you stop talking:</w:t>
      </w:r>
    </w:p>
    <w:p>
      <w:pPr>
        <w:pBdr>
          <w:left w:val="single" w:color="2E9E6B" w:sz="18" w:space="8"/>
        </w:pBdr>
        <w:spacing w:after="160" w:before="80"/>
        <w:ind w:left="360"/>
      </w:pPr>
      <w:r>
        <w:rPr>
          <w:i/>
          <w:iCs/>
          <w:color w:val="222222"/>
          <w:sz w:val="24"/>
          <w:szCs w:val="24"/>
        </w:rPr>
        <w:t xml:space="preserve">“Healthcare has always waited for you to get sick. PRISM doesn't wait. PRISM is the future of predictive healthcare. Thank you.”</w:t>
      </w:r>
    </w:p>
    <w:p>
      <w:pPr>
        <w:spacing w:after="200" w:before="60"/>
      </w:pPr>
      <w:r>
        <w:rPr>
          <w:b/>
          <w:bCs/>
          <w:color w:val="2E9E6B"/>
          <w:sz w:val="20"/>
          <w:szCs w:val="20"/>
        </w:rPr>
        <w:t xml:space="preserve">Delivery tip: </w:t>
      </w:r>
      <w:r>
        <w:rPr>
          <w:i/>
          <w:iCs/>
          <w:color w:val="555555"/>
          <w:sz w:val="20"/>
          <w:szCs w:val="20"/>
        </w:rPr>
        <w:t xml:space="preserve">This is your mic-drop line. Say it, then stop — resist the urge to keep talking after ‘Thank you.’ Silence after a strong line is more powerful than any follow-up sentence.</w:t>
      </w:r>
    </w:p>
    <w:p>
      <w:pPr>
        <w:pStyle w:val="Heading1"/>
        <w:spacing w:after="160" w:before="340"/>
      </w:pPr>
      <w:r>
        <w:t xml:space="preserve">Quick Reference: One-Line Hook Per Slide</w:t>
      </w:r>
    </w:p>
    <w:p>
      <w:pPr>
        <w:spacing w:after="140"/>
        <w:jc w:val="both"/>
      </w:pPr>
      <w:r>
        <w:t xml:space="preserve">If you only remember one sentence per slide under pressure, use these: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5E3A" w:val="clear"/>
            <w:tcMar>
              <w:top w:type="dxa" w:w="60"/>
              <w:left w:type="dxa" w:w="100"/>
              <w:bottom w:type="dxa" w:w="60"/>
              <w:right w:type="dxa" w:w="100"/>
            </w:tcMar>
          </w:tcPr>
          <w:p>
            <w:r>
              <w:rPr>
                <w:b/>
                <w:bCs/>
                <w:color w:val="FFFFFF"/>
                <w:sz w:val="18"/>
                <w:szCs w:val="18"/>
              </w:rPr>
              <w:t xml:space="preserve">Slide</w:t>
            </w:r>
          </w:p>
        </w:tc>
        <w:tc>
          <w:tcPr>
            <w:tcW w:type="dxa" w:w="6800"/>
            <w:shd w:fill="1B5E3A" w:val="clear"/>
            <w:tcMar>
              <w:top w:type="dxa" w:w="60"/>
              <w:left w:type="dxa" w:w="100"/>
              <w:bottom w:type="dxa" w:w="60"/>
              <w:right w:type="dxa" w:w="100"/>
            </w:tcMar>
          </w:tcPr>
          <w:p>
            <w:r>
              <w:rPr>
                <w:b/>
                <w:bCs/>
                <w:color w:val="FFFFFF"/>
                <w:sz w:val="18"/>
                <w:szCs w:val="18"/>
              </w:rPr>
              <w:t xml:space="preserve">One-Line Hook</w:t>
            </w:r>
          </w:p>
        </w:tc>
      </w:tr>
      <w:tr>
        <w:tc>
          <w:tcPr>
            <w:tcW w:type="dxa" w:w="2600"/>
            <w:tcMar>
              <w:top w:type="dxa" w:w="60"/>
              <w:left w:type="dxa" w:w="100"/>
              <w:bottom w:type="dxa" w:w="60"/>
              <w:right w:type="dxa" w:w="100"/>
            </w:tcMar>
          </w:tcPr>
          <w:p>
            <w:r>
              <w:rPr>
                <w:b w:val="false"/>
                <w:bCs w:val="false"/>
                <w:color w:val="000000"/>
                <w:sz w:val="18"/>
                <w:szCs w:val="18"/>
              </w:rPr>
              <w:t xml:space="preserve">1. Title</w:t>
            </w:r>
          </w:p>
        </w:tc>
        <w:tc>
          <w:tcPr>
            <w:tcW w:type="dxa" w:w="6800"/>
            <w:tcMar>
              <w:top w:type="dxa" w:w="60"/>
              <w:left w:type="dxa" w:w="100"/>
              <w:bottom w:type="dxa" w:w="60"/>
              <w:right w:type="dxa" w:w="100"/>
            </w:tcMar>
          </w:tcPr>
          <w:p>
            <w:r>
              <w:rPr>
                <w:b w:val="false"/>
                <w:bCs w:val="false"/>
                <w:color w:val="000000"/>
                <w:sz w:val="18"/>
                <w:szCs w:val="18"/>
              </w:rPr>
              <w:t xml:space="preserve">“See a health problem coming years before it happens.”</w:t>
            </w:r>
          </w:p>
        </w:tc>
      </w:tr>
      <w:tr>
        <w:tc>
          <w:tcPr>
            <w:tcW w:type="dxa" w:w="2600"/>
            <w:tcMar>
              <w:top w:type="dxa" w:w="60"/>
              <w:left w:type="dxa" w:w="100"/>
              <w:bottom w:type="dxa" w:w="60"/>
              <w:right w:type="dxa" w:w="100"/>
            </w:tcMar>
          </w:tcPr>
          <w:p>
            <w:r>
              <w:rPr>
                <w:b w:val="false"/>
                <w:bCs w:val="false"/>
                <w:color w:val="000000"/>
                <w:sz w:val="18"/>
                <w:szCs w:val="18"/>
              </w:rPr>
              <w:t xml:space="preserve">2. Problem</w:t>
            </w:r>
          </w:p>
        </w:tc>
        <w:tc>
          <w:tcPr>
            <w:tcW w:type="dxa" w:w="6800"/>
            <w:tcMar>
              <w:top w:type="dxa" w:w="60"/>
              <w:left w:type="dxa" w:w="100"/>
              <w:bottom w:type="dxa" w:w="60"/>
              <w:right w:type="dxa" w:w="100"/>
            </w:tcMar>
          </w:tcPr>
          <w:p>
            <w:r>
              <w:rPr>
                <w:b w:val="false"/>
                <w:bCs w:val="false"/>
                <w:color w:val="000000"/>
                <w:sz w:val="18"/>
                <w:szCs w:val="18"/>
              </w:rPr>
              <w:t xml:space="preserve">“Healthcare treats disease. It almost never prevents it.”</w:t>
            </w:r>
          </w:p>
        </w:tc>
      </w:tr>
      <w:tr>
        <w:tc>
          <w:tcPr>
            <w:tcW w:type="dxa" w:w="2600"/>
            <w:tcMar>
              <w:top w:type="dxa" w:w="60"/>
              <w:left w:type="dxa" w:w="100"/>
              <w:bottom w:type="dxa" w:w="60"/>
              <w:right w:type="dxa" w:w="100"/>
            </w:tcMar>
          </w:tcPr>
          <w:p>
            <w:r>
              <w:rPr>
                <w:b w:val="false"/>
                <w:bCs w:val="false"/>
                <w:color w:val="000000"/>
                <w:sz w:val="18"/>
                <w:szCs w:val="18"/>
              </w:rPr>
              <w:t xml:space="preserve">3. Solution</w:t>
            </w:r>
          </w:p>
        </w:tc>
        <w:tc>
          <w:tcPr>
            <w:tcW w:type="dxa" w:w="6800"/>
            <w:tcMar>
              <w:top w:type="dxa" w:w="60"/>
              <w:left w:type="dxa" w:w="100"/>
              <w:bottom w:type="dxa" w:w="60"/>
              <w:right w:type="dxa" w:w="100"/>
            </w:tcMar>
          </w:tcPr>
          <w:p>
            <w:r>
              <w:rPr>
                <w:b w:val="false"/>
                <w:bCs w:val="false"/>
                <w:color w:val="000000"/>
                <w:sz w:val="18"/>
                <w:szCs w:val="18"/>
              </w:rPr>
              <w:t xml:space="preserve">“From reaction to prediction — that's the shift.”</w:t>
            </w:r>
          </w:p>
        </w:tc>
      </w:tr>
      <w:tr>
        <w:tc>
          <w:tcPr>
            <w:tcW w:type="dxa" w:w="2600"/>
            <w:tcMar>
              <w:top w:type="dxa" w:w="60"/>
              <w:left w:type="dxa" w:w="100"/>
              <w:bottom w:type="dxa" w:w="60"/>
              <w:right w:type="dxa" w:w="100"/>
            </w:tcMar>
          </w:tcPr>
          <w:p>
            <w:r>
              <w:rPr>
                <w:b w:val="false"/>
                <w:bCs w:val="false"/>
                <w:color w:val="000000"/>
                <w:sz w:val="18"/>
                <w:szCs w:val="18"/>
              </w:rPr>
              <w:t xml:space="preserve">4. Differentiators</w:t>
            </w:r>
          </w:p>
        </w:tc>
        <w:tc>
          <w:tcPr>
            <w:tcW w:type="dxa" w:w="6800"/>
            <w:tcMar>
              <w:top w:type="dxa" w:w="60"/>
              <w:left w:type="dxa" w:w="100"/>
              <w:bottom w:type="dxa" w:w="60"/>
              <w:right w:type="dxa" w:w="100"/>
            </w:tcMar>
          </w:tcPr>
          <w:p>
            <w:r>
              <w:rPr>
                <w:b w:val="false"/>
                <w:bCs w:val="false"/>
                <w:color w:val="000000"/>
                <w:sz w:val="18"/>
                <w:szCs w:val="18"/>
              </w:rPr>
              <w:t xml:space="preserve">“Not a chatbot. A simulation engine with a living digital twin.”</w:t>
            </w:r>
          </w:p>
        </w:tc>
      </w:tr>
      <w:tr>
        <w:tc>
          <w:tcPr>
            <w:tcW w:type="dxa" w:w="2600"/>
            <w:tcMar>
              <w:top w:type="dxa" w:w="60"/>
              <w:left w:type="dxa" w:w="100"/>
              <w:bottom w:type="dxa" w:w="60"/>
              <w:right w:type="dxa" w:w="100"/>
            </w:tcMar>
          </w:tcPr>
          <w:p>
            <w:r>
              <w:rPr>
                <w:b w:val="false"/>
                <w:bCs w:val="false"/>
                <w:color w:val="000000"/>
                <w:sz w:val="18"/>
                <w:szCs w:val="18"/>
              </w:rPr>
              <w:t xml:space="preserve">5. Architecture</w:t>
            </w:r>
          </w:p>
        </w:tc>
        <w:tc>
          <w:tcPr>
            <w:tcW w:type="dxa" w:w="6800"/>
            <w:tcMar>
              <w:top w:type="dxa" w:w="60"/>
              <w:left w:type="dxa" w:w="100"/>
              <w:bottom w:type="dxa" w:w="60"/>
              <w:right w:type="dxa" w:w="100"/>
            </w:tcMar>
          </w:tcPr>
          <w:p>
            <w:r>
              <w:rPr>
                <w:b w:val="false"/>
                <w:bCs w:val="false"/>
                <w:color w:val="000000"/>
                <w:sz w:val="18"/>
                <w:szCs w:val="18"/>
              </w:rPr>
              <w:t xml:space="preserve">“Five agents: Input, Mapping, Simulation, Prediction, Explanation.”</w:t>
            </w:r>
          </w:p>
        </w:tc>
      </w:tr>
      <w:tr>
        <w:tc>
          <w:tcPr>
            <w:tcW w:type="dxa" w:w="2600"/>
            <w:tcMar>
              <w:top w:type="dxa" w:w="60"/>
              <w:left w:type="dxa" w:w="100"/>
              <w:bottom w:type="dxa" w:w="60"/>
              <w:right w:type="dxa" w:w="100"/>
            </w:tcMar>
          </w:tcPr>
          <w:p>
            <w:r>
              <w:rPr>
                <w:b w:val="false"/>
                <w:bCs w:val="false"/>
                <w:color w:val="000000"/>
                <w:sz w:val="18"/>
                <w:szCs w:val="18"/>
              </w:rPr>
              <w:t xml:space="preserve">6. Impact &amp; Vision</w:t>
            </w:r>
          </w:p>
        </w:tc>
        <w:tc>
          <w:tcPr>
            <w:tcW w:type="dxa" w:w="6800"/>
            <w:tcMar>
              <w:top w:type="dxa" w:w="60"/>
              <w:left w:type="dxa" w:w="100"/>
              <w:bottom w:type="dxa" w:w="60"/>
              <w:right w:type="dxa" w:w="100"/>
            </w:tcMar>
          </w:tcPr>
          <w:p>
            <w:r>
              <w:rPr>
                <w:b w:val="false"/>
                <w:bCs w:val="false"/>
                <w:color w:val="000000"/>
                <w:sz w:val="18"/>
                <w:szCs w:val="18"/>
              </w:rPr>
              <w:t xml:space="preserve">“PRISM doesn't wait for you to get sick.”</w:t>
            </w:r>
          </w:p>
        </w:tc>
      </w:tr>
    </w:tbl>
    <w:p>
      <w:pPr>
        <w:pStyle w:val="Heading1"/>
        <w:spacing w:after="160" w:before="340"/>
      </w:pPr>
      <w:r>
        <w:t xml:space="preserve">General Delivery Notes</w:t>
      </w:r>
    </w:p>
    <w:p>
      <w:pPr>
        <w:pStyle w:val="ListParagraph"/>
        <w:numPr>
          <w:ilvl w:val="0"/>
          <w:numId w:val="1"/>
        </w:numPr>
        <w:spacing w:after="70"/>
      </w:pPr>
      <w:r>
        <w:t xml:space="preserve">Total pitch time target: 6–7 minutes for 6 slides — roughly 60–70 seconds per slide, with Slide 1 and Slide 6 shortest and punchiest.</w:t>
      </w:r>
    </w:p>
    <w:p>
      <w:pPr>
        <w:pStyle w:val="ListParagraph"/>
        <w:numPr>
          <w:ilvl w:val="0"/>
          <w:numId w:val="1"/>
        </w:numPr>
        <w:spacing w:after="70"/>
      </w:pPr>
      <w:r>
        <w:t xml:space="preserve">Make eye contact with a different judge on each slide transition — it reads as confidence, not memorized delivery.</w:t>
      </w:r>
    </w:p>
    <w:p>
      <w:pPr>
        <w:pStyle w:val="ListParagraph"/>
        <w:numPr>
          <w:ilvl w:val="0"/>
          <w:numId w:val="1"/>
        </w:numPr>
        <w:spacing w:after="70"/>
      </w:pPr>
      <w:r>
        <w:t xml:space="preserve">If asked a tough question on accuracy or clinical validity, don't get defensive — own it directly: “This is preventive guidance, not a diagnosis — that's a deliberate design choice, and here's why it matters...”</w:t>
      </w:r>
    </w:p>
    <w:p>
      <w:pPr>
        <w:pStyle w:val="ListParagraph"/>
        <w:numPr>
          <w:ilvl w:val="0"/>
          <w:numId w:val="1"/>
        </w:numPr>
        <w:spacing w:after="70"/>
      </w:pPr>
      <w:r>
        <w:t xml:space="preserve">Practice the transition sentences between slides out loud — those, not the content itself, are usually where pitches stumble.</w:t>
      </w:r>
    </w:p>
    <w:p>
      <w:pPr>
        <w:spacing w:before="300"/>
      </w:pPr>
      <w:r>
        <w:rPr>
          <w:i/>
          <w:iCs/>
          <w:color w:val="555555"/>
          <w:sz w:val="20"/>
          <w:szCs w:val="20"/>
        </w:rPr>
        <w:t xml:space="preserve">This is meant as a delivery aid, not a script to read verbatim — make it sound like you, not like you're reciting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9E6B" w:sz="8" w:space="4"/>
      </w:pBdr>
      <w:spacing w:after="160" w:before="320"/>
    </w:pPr>
    <w:rPr>
      <w:rFonts w:ascii="Calibri" w:cs="Calibri" w:eastAsia="Calibri" w:hAnsi="Calibri"/>
      <w:b/>
      <w:bCs/>
      <w:color w:val="1B5E3A"/>
      <w:sz w:val="30"/>
      <w:szCs w:val="30"/>
    </w:rPr>
  </w:style>
  <w:style w:type="paragraph" w:styleId="Heading2">
    <w:name w:val="Heading 2"/>
    <w:basedOn w:val="Normal"/>
    <w:next w:val="Normal"/>
    <w:qFormat/>
    <w:pPr>
      <w:spacing w:after="100" w:before="200"/>
    </w:pPr>
    <w:rPr>
      <w:rFonts w:ascii="Calibri" w:cs="Calibri" w:eastAsia="Calibri" w:hAnsi="Calibri"/>
      <w:b/>
      <w:bCs/>
      <w:color w:val="2E9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2026-08-25T05:54:10.400Z</dcterms:created>
  <dcterms:modified xsi:type="dcterms:W3CDTF">2026-08-25T05:54:10.414Z</dcterms:modified>
</cp:coreProperties>
</file>

<file path=docProps/custom.xml><?xml version="1.0" encoding="utf-8"?>
<Properties xmlns="http://schemas.openxmlformats.org/officeDocument/2006/custom-properties" xmlns:vt="http://schemas.openxmlformats.org/officeDocument/2006/docPropsVTypes"/>
</file>