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1"/>
        <w:spacing w:line="259" w:lineRule="auto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 A"/>
        <w:widowControl w:val="1"/>
        <w:spacing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Data Collection and Preprocessing Phase</w:t>
      </w:r>
    </w:p>
    <w:p>
      <w:pPr>
        <w:pStyle w:val="Body A"/>
        <w:widowControl w:val="1"/>
        <w:spacing w:after="160" w:line="259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7th July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14:textOutline>
                  <w14:noFill/>
                </w14:textOutline>
              </w:rPr>
              <w:t>739719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Garment Workers Productivity Predictions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 Marks</w:t>
            </w:r>
          </w:p>
        </w:tc>
      </w:tr>
    </w:tbl>
    <w:p>
      <w:pPr>
        <w:pStyle w:val="Body A"/>
        <w:spacing w:after="16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Body A"/>
        <w:spacing w:after="160"/>
        <w:rPr>
          <w:rFonts w:ascii="Times New Roman" w:cs="Times New Roman" w:hAnsi="Times New Roman" w:eastAsia="Times New Roman"/>
        </w:rPr>
      </w:pPr>
    </w:p>
    <w:p>
      <w:pPr>
        <w:pStyle w:val="Body A"/>
        <w:widowControl w:val="1"/>
        <w:spacing w:after="160" w:line="259" w:lineRule="auto"/>
        <w:rPr>
          <w:rFonts w:ascii="Times New Roman" w:cs="Times New Roman" w:hAnsi="Times New Roman" w:eastAsia="Times New Roman"/>
        </w:rPr>
      </w:pPr>
    </w:p>
    <w:p>
      <w:pPr>
        <w:pStyle w:val="Body A"/>
        <w:widowControl w:val="1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Data Exploration and Preprocessing Template</w:t>
      </w:r>
    </w:p>
    <w:p>
      <w:pPr>
        <w:pStyle w:val="Body A"/>
        <w:widowControl w:val="1"/>
        <w:spacing w:after="160" w:line="259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Data collection for gather data from internal and external sources, assesses quality issues like missing values and duplicates, normalize features,engineer new features, data merging </w:t>
      </w:r>
      <w:r>
        <w:rPr>
          <w:rFonts w:ascii="Times New Roman" w:hAnsi="Times New Roman"/>
          <w:sz w:val="24"/>
          <w:szCs w:val="24"/>
          <w:rtl w:val="0"/>
        </w:rPr>
        <w:t>and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splitting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then split into training and testing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widowControl w:val="1"/>
        <w:spacing w:after="160" w:line="259" w:lineRule="auto"/>
        <w:rPr>
          <w:rFonts w:ascii="Times New Roman" w:cs="Times New Roman" w:hAnsi="Times New Roman" w:eastAsia="Times New Roman"/>
        </w:rPr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1"/>
        <w:gridCol w:w="6349"/>
      </w:tblGrid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Section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Data Overview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Basic statistics: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Summarize the central tendency, dispersion, and shape of the dataset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s distribution.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dimensions: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Display the number of rows and columns in each dataset to understand the size of the data.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structure of the data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:Provide information about the data types and non-null values in each column to understand the structure.</w:t>
            </w:r>
          </w:p>
        </w:tc>
      </w:tr>
      <w:tr>
        <w:tblPrEx>
          <w:shd w:val="clear" w:color="auto" w:fill="ced7e7"/>
        </w:tblPrEx>
        <w:trPr>
          <w:trHeight w:val="5598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Univariate Analysis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319" w:line="240" w:lineRule="auto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1. Summary Statistics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 Calculate and display basic statistics such as mean, median, mode, standard deviation, and range for individual variables.</w:t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spacing w:before="0" w:line="240" w:lineRule="auto"/>
              <w:ind w:left="720" w:right="0" w:hanging="720"/>
              <w:jc w:val="left"/>
              <w:rPr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2.. </w:t>
            </w: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Distribution Plots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 Visualize the distribution of individual variables using histograms and density plots.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3. Box Plots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 Use box plots to visualize the spread and identify potential outliers in individual variables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This code will provide a comprehensive univariate analysis for individual variables, helping to understand their distributions, central tendencies, and variations.</w:t>
            </w:r>
          </w:p>
          <w:p>
            <w:pPr>
              <w:pStyle w:val="Default"/>
              <w:spacing w:before="0" w:line="240" w:lineRule="auto"/>
              <w:rPr>
                <w:rFonts w:ascii="Times Roman" w:cs="Times Roman" w:hAnsi="Times Roman" w:eastAsia="Times Roman"/>
                <w:shd w:val="nil" w:color="auto" w:fill="auto"/>
                <w:lang w:val="en-US"/>
              </w:rPr>
            </w:pP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Helvetica" w:cs="Helvetica" w:hAnsi="Helvetica" w:eastAsia="Helvetica"/>
                <w:outline w:val="0"/>
                <w:color w:val="000000"/>
                <w:sz w:val="22"/>
                <w:szCs w:val="22"/>
                <w:shd w:val="nil" w:color="auto" w:fill="auto"/>
                <w:lang w:val="en-US"/>
                <w14:textFill>
                  <w14:solidFill>
                    <w14:srgbClr w14:val="000000">
                      <w14:alpha w14:val="15294"/>
                    </w14:srgbClr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2898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Bivariate Analysis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319" w:line="240" w:lineRule="auto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1.Correlation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 Calculate the correlation coefficient to measure the strength and direction of the relationship between two variables.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it-IT"/>
              </w:rPr>
              <w:t>. Scatter Plot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 Create scatter plots to visually inspect the relationship between two variables.</w:t>
            </w:r>
          </w:p>
        </w:tc>
      </w:tr>
      <w:tr>
        <w:tblPrEx>
          <w:shd w:val="clear" w:color="auto" w:fill="ced7e7"/>
        </w:tblPrEx>
        <w:trPr>
          <w:trHeight w:val="4058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Multivariate Analysis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319" w:line="240" w:lineRule="auto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pt-PT"/>
              </w:rPr>
              <w:t>1. Pair Plot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 Visualize pairwise relationships between multiple variables to identify potential interactions.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2. Heatmap for Correlation Matrix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 Visualize the correlation matrix to see the strength of relationships between multiple variables.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3. Multiple Regression Analysis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 xml:space="preserve"> Fit a multiple regression model to understand the combined effect of multiple predictors on a target variable.</w:t>
            </w:r>
          </w:p>
        </w:tc>
      </w:tr>
      <w:tr>
        <w:tblPrEx>
          <w:shd w:val="clear" w:color="auto" w:fill="ced7e7"/>
        </w:tblPrEx>
        <w:trPr>
          <w:trHeight w:val="5941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Outliers and Anomalies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281" w:line="240" w:lineRule="auto"/>
              <w:rPr>
                <w:rFonts w:ascii="Times Roman" w:cs="Times Roman" w:hAnsi="Times Roman" w:eastAsia="Times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Treatment of Outliers: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1.</w:t>
            </w: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de-DE"/>
              </w:rPr>
              <w:t>Strategies</w:t>
            </w:r>
          </w:p>
          <w:p>
            <w:pPr>
              <w:pStyle w:val="Default"/>
              <w:numPr>
                <w:ilvl w:val="1"/>
                <w:numId w:val="7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Remove outliers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: Exclude them from further analysis if they are likely to be errors or irrelevant extreme values.</w:t>
            </w:r>
          </w:p>
          <w:p>
            <w:pPr>
              <w:pStyle w:val="Default"/>
              <w:numPr>
                <w:ilvl w:val="1"/>
                <w:numId w:val="7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nl-NL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nl-NL"/>
              </w:rPr>
              <w:t>Transform variables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: Apply mathematical transformations like log or square root to reduce skewness caused by outliers.</w:t>
            </w:r>
          </w:p>
          <w:p>
            <w:pPr>
              <w:pStyle w:val="Default"/>
              <w:numPr>
                <w:ilvl w:val="1"/>
                <w:numId w:val="7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Winsorization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: Cap extreme values by replacing them with values at a specified percentile (e.g., 95th percentile).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2.Considerations</w:t>
            </w:r>
            <w:r>
              <w:rPr>
                <w:rFonts w:ascii="Times Roman" w:hAnsi="Times Roman"/>
                <w:b w:val="0"/>
                <w:bCs w:val="0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Default"/>
              <w:numPr>
                <w:ilvl w:val="1"/>
                <w:numId w:val="7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Impact assessment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: Evaluate how removing or transforming outliers affects the overall dataset and model performance.</w:t>
            </w:r>
          </w:p>
          <w:p>
            <w:pPr>
              <w:pStyle w:val="Default"/>
              <w:numPr>
                <w:ilvl w:val="1"/>
                <w:numId w:val="7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</w:rPr>
              <w:t>Documentation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: Document all decisions and actions taken regarding outlier handling for transparency and reproducibility.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Data Preprocessing Code Screenshots</w:t>
            </w:r>
          </w:p>
        </w:tc>
      </w:tr>
      <w:tr>
        <w:tblPrEx>
          <w:shd w:val="clear" w:color="auto" w:fill="ced7e7"/>
        </w:tblPrEx>
        <w:trPr>
          <w:trHeight w:val="915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Loading Data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e1c1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3876970" cy="263405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970" cy="2634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628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Handling Missing Data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4242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240780" cy="1629729"/>
                  <wp:effectExtent l="0" t="0" r="0" b="0"/>
                  <wp:docPr id="107374182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780" cy="162972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967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Data Transformation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f1f1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012177" cy="574675"/>
                  <wp:effectExtent l="0" t="0" r="0" b="0"/>
                  <wp:docPr id="107374182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77" cy="5746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967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Feature Engineering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d1d1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6524" cy="574675"/>
                  <wp:effectExtent l="0" t="0" r="0" b="0"/>
                  <wp:docPr id="107374183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24" cy="5746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967" w:hRule="atLeast"/>
        </w:trPr>
        <w:tc>
          <w:tcPr>
            <w:tcW w:type="dxa" w:w="3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Save Processed Data</w:t>
            </w:r>
          </w:p>
        </w:tc>
        <w:tc>
          <w:tcPr>
            <w:tcW w:type="dxa" w:w="6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1111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448995" cy="574675"/>
                  <wp:effectExtent l="0" t="0" r="0" b="0"/>
                  <wp:docPr id="1073741831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995" cy="5746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  <w:spacing w:after="160"/>
        <w:ind w:left="108" w:hanging="108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121921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