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UC3 — Breach Analytics Platform: Problem Statement</w:t>
      </w:r>
    </w:p>
    <w:p>
      <w:pPr>
        <w:spacing w:after="180"/>
      </w:pPr>
      <w:r>
        <w:rPr>
          <w:color w:val="444444"/>
          <w:sz w:val="17"/>
          <w:szCs w:val="17"/>
        </w:rPr>
        <w:t xml:space="preserve">DataFactZ AI Engineering Internship · Weeks 3-4 (Capstone) · Author: &lt;Your Name&gt;</w:t>
      </w:r>
    </w:p>
    <w:p>
      <w:pPr>
        <w:pStyle w:val="Heading2"/>
        <w:spacing w:after="70" w:before="140"/>
      </w:pPr>
      <w:r>
        <w:t xml:space="preserve">Business Framing</w:t>
      </w:r>
    </w:p>
    <w:p>
      <w:pPr>
        <w:spacing w:after="100"/>
      </w:pPr>
      <w:r>
        <w:rPr>
          <w:sz w:val="20"/>
          <w:szCs w:val="20"/>
        </w:rPr>
        <w:t xml:space="preserve">When a client suffers a data breach, legal and compliance teams must determine exactly whose personal data was exposed, across hundreds of documents in inconsistent formats, before regulatory notification deadlines pass. Manually triaging this volume doesn't scale, and the error modes are costly in both directions: missing an exposed individual creates real legal and reputational risk, while over-reporting erodes trust in the process and burdens people who were never actually exposed. A platform that ingests the full corpus, extracts and resolves personal data elements to unique individuals, and produces an evidence-backed exposure table lets a human make the final call with full traceability, rather than starting from a blank spreadsheet.</w:t>
      </w:r>
    </w:p>
    <w:p>
      <w:pPr>
        <w:pStyle w:val="Heading2"/>
        <w:spacing w:after="70" w:before="140"/>
      </w:pPr>
      <w:r>
        <w:t xml:space="preserve">Target User</w:t>
      </w:r>
    </w:p>
    <w:p>
      <w:pPr>
        <w:spacing w:after="100"/>
      </w:pPr>
      <w:r>
        <w:rPr>
          <w:sz w:val="20"/>
          <w:szCs w:val="20"/>
        </w:rPr>
        <w:t xml:space="preserve">The primary user is a legal or compliance investigator who needs an authoritative, defensible answer to "who was exposed, and how do we know" — not a black-box number, but a table where every flag traces to a specific source passage. A secondary user is the reviewer role: someone who resolves the subset of extractions and identity matches the system itself is not confident enough to decide alone, particularly the shared-name and same-person-different-name cases that a naive system would get wrong silently.</w:t>
      </w:r>
    </w:p>
    <w:p>
      <w:pPr>
        <w:pStyle w:val="Heading2"/>
        <w:spacing w:after="70" w:before="140"/>
      </w:pPr>
      <w:r>
        <w:t xml:space="preserve">Success Criteria</w:t>
      </w:r>
    </w:p>
    <w:p>
      <w:pPr>
        <w:pStyle w:val="ListParagraph"/>
        <w:numPr>
          <w:ilvl w:val="0"/>
          <w:numId w:val="1"/>
        </w:numPr>
        <w:spacing w:after="50"/>
      </w:pPr>
      <w:r>
        <w:rPr>
          <w:sz w:val="20"/>
          <w:szCs w:val="20"/>
        </w:rPr>
        <w:t xml:space="preserve">Every document in the corpus is accounted for — parsed, quarantined with a stated reason, or explicitly escalated; nothing is silently dropped.</w:t>
      </w:r>
    </w:p>
    <w:p>
      <w:pPr>
        <w:pStyle w:val="ListParagraph"/>
        <w:numPr>
          <w:ilvl w:val="0"/>
          <w:numId w:val="1"/>
        </w:numPr>
        <w:spacing w:after="50"/>
      </w:pPr>
      <w:r>
        <w:rPr>
          <w:sz w:val="20"/>
          <w:szCs w:val="20"/>
        </w:rPr>
        <w:t xml:space="preserve">Personal data elements are extracted using a combination of deterministic detectors and LLM extraction, validated against a schema, with per-field confidence that is not a constant placeholder.</w:t>
      </w:r>
    </w:p>
    <w:p>
      <w:pPr>
        <w:pStyle w:val="ListParagraph"/>
        <w:numPr>
          <w:ilvl w:val="0"/>
          <w:numId w:val="1"/>
        </w:numPr>
        <w:spacing w:after="50"/>
      </w:pPr>
      <w:r>
        <w:rPr>
          <w:sz w:val="20"/>
          <w:szCs w:val="20"/>
        </w:rPr>
        <w:t xml:space="preserve">Elements are resolved to unique individuals across documents: people who share a name are kept separate, and the same person under a nickname, initials, or misspelling is correctly linked.</w:t>
      </w:r>
    </w:p>
    <w:p>
      <w:pPr>
        <w:pStyle w:val="ListParagraph"/>
        <w:numPr>
          <w:ilvl w:val="0"/>
          <w:numId w:val="1"/>
        </w:numPr>
        <w:spacing w:after="50"/>
      </w:pPr>
      <w:r>
        <w:rPr>
          <w:sz w:val="20"/>
          <w:szCs w:val="20"/>
        </w:rPr>
        <w:t xml:space="preserve">The exposure table shows one row per individual with per-category exposure flags, a confidence signal, and evidence that drills down to the exact source passage.</w:t>
      </w:r>
    </w:p>
    <w:p>
      <w:pPr>
        <w:pStyle w:val="ListParagraph"/>
        <w:numPr>
          <w:ilvl w:val="0"/>
          <w:numId w:val="1"/>
        </w:numPr>
        <w:spacing w:after="50"/>
      </w:pPr>
      <w:r>
        <w:rPr>
          <w:sz w:val="20"/>
          <w:szCs w:val="20"/>
        </w:rPr>
        <w:t xml:space="preserve">Low-confidence extractions and ambiguous identity matches route to a human review queue; reviewer decisions are stored and reflected in the table.</w:t>
      </w:r>
    </w:p>
    <w:p>
      <w:pPr>
        <w:pStyle w:val="ListParagraph"/>
        <w:numPr>
          <w:ilvl w:val="0"/>
          <w:numId w:val="1"/>
        </w:numPr>
        <w:spacing w:after="50"/>
      </w:pPr>
      <w:r>
        <w:rPr>
          <w:sz w:val="20"/>
          <w:szCs w:val="20"/>
        </w:rPr>
        <w:t xml:space="preserve">Accuracy is measured against a ground-truth manifest — person-level recall/precision and per-category flag accuracy — with an honest error analysis, not just a headline number.</w:t>
      </w:r>
    </w:p>
    <w:p>
      <w:pPr>
        <w:pStyle w:val="ListParagraph"/>
        <w:numPr>
          <w:ilvl w:val="0"/>
          <w:numId w:val="1"/>
        </w:numPr>
        <w:spacing w:after="50"/>
      </w:pPr>
      <w:r>
        <w:rPr>
          <w:sz w:val="20"/>
          <w:szCs w:val="20"/>
        </w:rPr>
        <w:t xml:space="preserve">Processing cost is measured (not projected) on the real corpus, with tiered model routing, and extrapolated to 100,000 and 1,000,000 documents with a recommended configuration.</w:t>
      </w:r>
    </w:p>
    <w:p>
      <w:pPr>
        <w:pStyle w:val="ListParagraph"/>
        <w:numPr>
          <w:ilvl w:val="0"/>
          <w:numId w:val="1"/>
        </w:numPr>
        <w:spacing w:after="50"/>
      </w:pPr>
      <w:r>
        <w:rPr>
          <w:sz w:val="20"/>
          <w:szCs w:val="20"/>
        </w:rPr>
        <w:t xml:space="preserve">Every agent action is inspectable via a run trace, consequential actions (merges, final sign-off) require human approval, and the system demonstrably handles a forced failure without crashing or silently truncating results.</w:t>
      </w:r>
    </w:p>
    <w:p>
      <w:pPr>
        <w:pStyle w:val="Heading2"/>
        <w:spacing w:after="70" w:before="140"/>
      </w:pPr>
      <w:r>
        <w:t xml:space="preserve">Out of Scope</w:t>
      </w:r>
    </w:p>
    <w:p>
      <w:pPr>
        <w:pStyle w:val="ListParagraph"/>
        <w:numPr>
          <w:ilvl w:val="0"/>
          <w:numId w:val="1"/>
        </w:numPr>
        <w:spacing w:after="50"/>
      </w:pPr>
      <w:r>
        <w:rPr>
          <w:sz w:val="20"/>
          <w:szCs w:val="20"/>
        </w:rPr>
        <w:t xml:space="preserve">Delivering regulatory notifications — this platform produces the exposure table and export; sending legal notices to affected individuals is a downstream human and legal process.</w:t>
      </w:r>
    </w:p>
    <w:p>
      <w:pPr>
        <w:pStyle w:val="ListParagraph"/>
        <w:numPr>
          <w:ilvl w:val="0"/>
          <w:numId w:val="1"/>
        </w:numPr>
        <w:spacing w:after="50"/>
      </w:pPr>
      <w:r>
        <w:rPr>
          <w:sz w:val="20"/>
          <w:szCs w:val="20"/>
        </w:rPr>
        <w:t xml:space="preserve">Any real personal data, ever — the entire system is built, tested, and demoed exclusively on synthetic individuals and synthetic documents.</w:t>
      </w:r>
    </w:p>
    <w:p>
      <w:pPr>
        <w:pStyle w:val="ListParagraph"/>
        <w:numPr>
          <w:ilvl w:val="0"/>
          <w:numId w:val="1"/>
        </w:numPr>
        <w:spacing w:after="50"/>
      </w:pPr>
      <w:r>
        <w:rPr>
          <w:sz w:val="20"/>
          <w:szCs w:val="20"/>
        </w:rPr>
        <w:t xml:space="preserve">Fully autonomous entity-resolution merges with no human oversight — approval gates on merges are a permanent, deliberate part of the design, not a placeholder to remove once the system is 'trusted enough.'</w:t>
      </w:r>
    </w:p>
    <w:p>
      <w:pPr>
        <w:pStyle w:val="ListParagraph"/>
        <w:numPr>
          <w:ilvl w:val="0"/>
          <w:numId w:val="1"/>
        </w:numPr>
        <w:spacing w:after="50"/>
      </w:pPr>
      <w:r>
        <w:rPr>
          <w:sz w:val="20"/>
          <w:szCs w:val="20"/>
        </w:rPr>
        <w:t xml:space="preserve">Support for file formats beyond the seven required in the corpus specification — scope is fixed for this engagement, not an open-ended document-ingestion product.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2026-09-16T03:05:41.883Z</dcterms:created>
  <dcterms:modified xsi:type="dcterms:W3CDTF">2026-09-16T03:05:41.891Z</dcterms:modified>
</cp:coreProperties>
</file>

<file path=docProps/custom.xml><?xml version="1.0" encoding="utf-8"?>
<Properties xmlns="http://schemas.openxmlformats.org/officeDocument/2006/custom-properties" xmlns:vt="http://schemas.openxmlformats.org/officeDocument/2006/docPropsVTypes"/>
</file>