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5A656C"/>
          <w:spacing w:val="30"/>
          <w:sz w:val="16"/>
          <w:szCs w:val="16"/>
        </w:rPr>
        <w:t xml:space="preserve">DATAFACTZ  ·  INNOVATION PITCH  ·  BUSINESS CASE</w:t>
      </w:r>
    </w:p>
    <w:p>
      <w:pPr>
        <w:spacing w:after="40"/>
      </w:pPr>
      <w:r>
        <w:rPr>
          <w:rFonts w:ascii="Arial" w:cs="Arial" w:eastAsia="Arial" w:hAnsi="Arial"/>
          <w:b/>
          <w:bCs/>
          <w:color w:val="182127"/>
          <w:sz w:val="46"/>
          <w:szCs w:val="46"/>
        </w:rPr>
        <w:t xml:space="preserve">Subject-Access Copilot</w:t>
      </w:r>
    </w:p>
    <w:p>
      <w:pPr>
        <w:pBdr>
          <w:bottom w:val="single" w:color="FC7900" w:sz="12" w:space="6"/>
        </w:pBdr>
        <w:spacing w:after="60"/>
      </w:pPr>
      <w:r>
        <w:rPr>
          <w:rFonts w:ascii="Arial" w:cs="Arial" w:eastAsia="Arial" w:hAnsi="Arial"/>
          <w:color w:val="5A656C"/>
          <w:sz w:val="23"/>
          <w:szCs w:val="23"/>
        </w:rPr>
        <w:t xml:space="preserve">Evidence-linked answers to data-subject access requests across unstructured archives</w:t>
      </w:r>
    </w:p>
    <w:p>
      <w:pPr>
        <w:spacing w:after="60"/>
      </w:pPr>
      <w:r>
        <w:rPr>
          <w:rFonts w:ascii="Arial" w:cs="Arial" w:eastAsia="Arial" w:hAnsi="Arial"/>
          <w:color w:val="5A656C"/>
          <w:sz w:val="17"/>
          <w:szCs w:val="17"/>
        </w:rPr>
        <w:t xml:space="preserve">Sriram Kodati  ·  AI Engineering Internship  ·  Week 5</w:t>
      </w:r>
    </w:p>
    <w:p>
      <w:pPr>
        <w:keepNext/>
        <w:spacing w:after="70" w:before="220"/>
      </w:pPr>
      <w:r>
        <w:rPr>
          <w:rFonts w:ascii="Arial" w:cs="Arial" w:eastAsia="Arial" w:hAnsi="Arial"/>
          <w:b/>
          <w:bCs/>
          <w:color w:val="FC7900"/>
          <w:spacing w:val="30"/>
          <w:sz w:val="19"/>
          <w:szCs w:val="19"/>
        </w:rPr>
        <w:t xml:space="preserve">1. EXECUTIVE SUMMARY</w:t>
      </w:r>
    </w:p>
    <w:p>
      <w:pPr>
        <w:spacing w:after="90" w:line="268"/>
      </w:pPr>
      <w:r>
        <w:rPr>
          <w:rFonts w:ascii="Arial" w:cs="Arial" w:eastAsia="Arial" w:hAnsi="Arial"/>
          <w:color w:val="182127"/>
          <w:sz w:val="20"/>
          <w:szCs w:val="20"/>
        </w:rPr>
        <w:t xml:space="preserve">Regulated mid-size enterprises must answer data-subject access requests (DSARs) inside statutory clocks, yet much of the personal data sits in emails, PDFs, scans and spreadsheets that no system connector can query. Subject-Access Copilot indexes those archives, resolves the requester’s identity across name variants, and assembles a source-linked response package that a human approves before release.</w:t>
      </w:r>
    </w:p>
    <w:p>
      <w:pPr>
        <w:spacing w:after="90" w:line="268"/>
      </w:pPr>
      <w:r>
        <w:rPr>
          <w:rFonts w:ascii="Arial" w:cs="Arial" w:eastAsia="Arial" w:hAnsi="Arial"/>
          <w:color w:val="182127"/>
          <w:sz w:val="20"/>
          <w:szCs w:val="20"/>
        </w:rPr>
        <w:t xml:space="preserve">On planning assumptions, a team handling 30 requests a month spends about </w:t>
      </w:r>
      <w:r>
        <w:rPr>
          <w:rFonts w:ascii="Arial" w:cs="Arial" w:eastAsia="Arial" w:hAnsi="Arial"/>
          <w:b/>
          <w:bCs/>
          <w:color w:val="182127"/>
          <w:sz w:val="20"/>
          <w:szCs w:val="20"/>
        </w:rPr>
        <w:t xml:space="preserve">$201,600 a year</w:t>
      </w:r>
      <w:r>
        <w:rPr>
          <w:rFonts w:ascii="Arial" w:cs="Arial" w:eastAsia="Arial" w:hAnsi="Arial"/>
          <w:color w:val="182127"/>
          <w:sz w:val="20"/>
          <w:szCs w:val="20"/>
        </w:rPr>
        <w:t xml:space="preserve"> in staff time, and the copilot is designed to remove about </w:t>
      </w:r>
      <w:r>
        <w:rPr>
          <w:rFonts w:ascii="Arial" w:cs="Arial" w:eastAsia="Arial" w:hAnsi="Arial"/>
          <w:b/>
          <w:bCs/>
          <w:color w:val="182127"/>
          <w:sz w:val="20"/>
          <w:szCs w:val="20"/>
        </w:rPr>
        <w:t xml:space="preserve">$138,600</w:t>
      </w:r>
      <w:r>
        <w:rPr>
          <w:rFonts w:ascii="Arial" w:cs="Arial" w:eastAsia="Arial" w:hAnsi="Arial"/>
          <w:color w:val="182127"/>
          <w:sz w:val="20"/>
          <w:szCs w:val="20"/>
        </w:rPr>
        <w:t xml:space="preserve"> of it. Any all-in annual cost below that figure is net-positive before counting avoided deadline and disclosure risk. We ask for an 8-week pilot to replace these assumptions with measured data.</w:t>
      </w:r>
    </w:p>
    <w:p>
      <w:pPr>
        <w:keepNext/>
        <w:spacing w:after="70" w:before="220"/>
      </w:pPr>
      <w:r>
        <w:rPr>
          <w:rFonts w:ascii="Arial" w:cs="Arial" w:eastAsia="Arial" w:hAnsi="Arial"/>
          <w:b/>
          <w:bCs/>
          <w:color w:val="FC7900"/>
          <w:spacing w:val="30"/>
          <w:sz w:val="19"/>
          <w:szCs w:val="19"/>
        </w:rPr>
        <w:t xml:space="preserve">2. THE PROBLEM AND WHAT IT COSTS</w:t>
      </w:r>
    </w:p>
    <w:p>
      <w:pPr>
        <w:spacing w:after="90" w:line="268"/>
      </w:pPr>
      <w:r>
        <w:rPr>
          <w:rFonts w:ascii="Arial" w:cs="Arial" w:eastAsia="Arial" w:hAnsi="Arial"/>
          <w:b/>
          <w:bCs/>
          <w:color w:val="182127"/>
          <w:sz w:val="20"/>
          <w:szCs w:val="20"/>
        </w:rPr>
        <w:t xml:space="preserve">The clock. </w:t>
      </w:r>
      <w:r>
        <w:rPr>
          <w:rFonts w:ascii="Arial" w:cs="Arial" w:eastAsia="Arial" w:hAnsi="Arial"/>
          <w:color w:val="182127"/>
          <w:sz w:val="20"/>
          <w:szCs w:val="20"/>
        </w:rPr>
        <w:t xml:space="preserve">Under GDPR Article 12(3) a controller must respond within one month, extendable by up to two further months where necessary, with notice of the extension inside the first month. Under California’s CCPA/CPRA (Civ. Code § 1798.130) the limit is 45 days plus one 45-day extension.</w:t>
      </w:r>
    </w:p>
    <w:p>
      <w:pPr>
        <w:spacing w:after="90" w:line="268"/>
      </w:pPr>
      <w:r>
        <w:rPr>
          <w:rFonts w:ascii="Arial" w:cs="Arial" w:eastAsia="Arial" w:hAnsi="Arial"/>
          <w:b/>
          <w:bCs/>
          <w:color w:val="182127"/>
          <w:sz w:val="20"/>
          <w:szCs w:val="20"/>
        </w:rPr>
        <w:t xml:space="preserve">Why it is hard. </w:t>
      </w:r>
      <w:r>
        <w:rPr>
          <w:rFonts w:ascii="Arial" w:cs="Arial" w:eastAsia="Arial" w:hAnsi="Arial"/>
          <w:color w:val="182127"/>
          <w:sz w:val="20"/>
          <w:szCs w:val="20"/>
        </w:rPr>
        <w:t xml:space="preserve">Structured systems such as CRM and billing can be queried. The long tail cannot: email threads, attachments, scanned forms and spreadsheets are searched by keyword and read by hand. That produces two failure modes. Name variants (“Bob” and “Robert”, “Hernandez, Cynthia”) cause missed records. Shared names cause the worse failure, disclosing one person’s data to another, which is itself a reportable incident.</w:t>
      </w:r>
    </w:p>
    <w:p>
      <w:pPr>
        <w:spacing w:after="90" w:line="268"/>
      </w:pPr>
      <w:r>
        <w:rPr>
          <w:rFonts w:ascii="Arial" w:cs="Arial" w:eastAsia="Arial" w:hAnsi="Arial"/>
          <w:b/>
          <w:bCs/>
          <w:color w:val="182127"/>
          <w:sz w:val="20"/>
          <w:szCs w:val="20"/>
        </w:rPr>
        <w:t xml:space="preserve">What it costs. </w:t>
      </w:r>
      <w:r>
        <w:rPr>
          <w:rFonts w:ascii="Arial" w:cs="Arial" w:eastAsia="Arial" w:hAnsi="Arial"/>
          <w:color w:val="182127"/>
          <w:sz w:val="20"/>
          <w:szCs w:val="20"/>
        </w:rPr>
        <w:t xml:space="preserve">Public benchmarks are dated and secondhand, so we use them as sanity checks only. A 2019 CIO Dive report cites a Gartner estimate of $1,400 per request, and a Talend survey in which 58% of GDPR-relevant companies missed the one-month deadline. Our own model is built from stated assumptions that the pilot will replace: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900"/>
        <w:gridCol w:w="1700"/>
        <w:gridCol w:w="2140"/>
      </w:tblGrid>
      <w:tr>
        <w:trPr>
          <w:tblHeader/>
        </w:trPr>
        <w:tc>
          <w:tcPr>
            <w:tcW w:type="dxa" w:w="230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left"/>
            </w:pPr>
            <w:r>
              <w:rPr>
                <w:rFonts w:ascii="Arial" w:cs="Arial" w:eastAsia="Arial" w:hAnsi="Arial"/>
                <w:b/>
                <w:bCs/>
                <w:color w:val="FFFFFF"/>
                <w:sz w:val="17"/>
                <w:szCs w:val="17"/>
              </w:rPr>
              <w:t xml:space="preserve">Scenario</w:t>
            </w:r>
          </w:p>
        </w:tc>
        <w:tc>
          <w:tcPr>
            <w:tcW w:type="dxa" w:w="180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Requests / month</w:t>
            </w:r>
          </w:p>
        </w:tc>
        <w:tc>
          <w:tcPr>
            <w:tcW w:type="dxa" w:w="190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Staff hours each</w:t>
            </w:r>
          </w:p>
        </w:tc>
        <w:tc>
          <w:tcPr>
            <w:tcW w:type="dxa" w:w="170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Loaded rate</w:t>
            </w:r>
          </w:p>
        </w:tc>
        <w:tc>
          <w:tcPr>
            <w:tcW w:type="dxa" w:w="214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Annual labor cost</w:t>
            </w:r>
          </w:p>
        </w:tc>
      </w:tr>
      <w:tr>
        <w:trPr>
          <w:cantSplit/>
        </w:trPr>
        <w:tc>
          <w:tcPr>
            <w:tcW w:type="dxa" w:w="23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bCs/>
                <w:color w:val="182127"/>
                <w:sz w:val="17"/>
                <w:szCs w:val="17"/>
              </w:rPr>
              <w:t xml:space="preserve">Low</w:t>
            </w:r>
          </w:p>
        </w:tc>
        <w:tc>
          <w:tcPr>
            <w:tcW w:type="dxa" w:w="18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10</w:t>
            </w:r>
          </w:p>
        </w:tc>
        <w:tc>
          <w:tcPr>
            <w:tcW w:type="dxa" w:w="19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8</w:t>
            </w:r>
          </w:p>
        </w:tc>
        <w:tc>
          <w:tcPr>
            <w:tcW w:type="dxa" w:w="17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$70 / hour</w:t>
            </w:r>
          </w:p>
        </w:tc>
        <w:tc>
          <w:tcPr>
            <w:tcW w:type="dxa" w:w="214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$67,200</w:t>
            </w:r>
          </w:p>
        </w:tc>
      </w:tr>
      <w:tr>
        <w:trPr>
          <w:cantSplit/>
        </w:trPr>
        <w:tc>
          <w:tcPr>
            <w:tcW w:type="dxa" w:w="23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bCs/>
                <w:color w:val="182127"/>
                <w:sz w:val="17"/>
                <w:szCs w:val="17"/>
              </w:rPr>
              <w:t xml:space="preserve">Base</w:t>
            </w:r>
          </w:p>
        </w:tc>
        <w:tc>
          <w:tcPr>
            <w:tcW w:type="dxa" w:w="18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30</w:t>
            </w:r>
          </w:p>
        </w:tc>
        <w:tc>
          <w:tcPr>
            <w:tcW w:type="dxa" w:w="19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8</w:t>
            </w:r>
          </w:p>
        </w:tc>
        <w:tc>
          <w:tcPr>
            <w:tcW w:type="dxa" w:w="17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$70 / hour</w:t>
            </w:r>
          </w:p>
        </w:tc>
        <w:tc>
          <w:tcPr>
            <w:tcW w:type="dxa" w:w="214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$201,600</w:t>
            </w:r>
          </w:p>
        </w:tc>
      </w:tr>
      <w:tr>
        <w:trPr>
          <w:cantSplit/>
        </w:trPr>
        <w:tc>
          <w:tcPr>
            <w:tcW w:type="dxa" w:w="23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bCs/>
                <w:color w:val="182127"/>
                <w:sz w:val="17"/>
                <w:szCs w:val="17"/>
              </w:rPr>
              <w:t xml:space="preserve">High</w:t>
            </w:r>
          </w:p>
        </w:tc>
        <w:tc>
          <w:tcPr>
            <w:tcW w:type="dxa" w:w="18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60</w:t>
            </w:r>
          </w:p>
        </w:tc>
        <w:tc>
          <w:tcPr>
            <w:tcW w:type="dxa" w:w="19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8</w:t>
            </w:r>
          </w:p>
        </w:tc>
        <w:tc>
          <w:tcPr>
            <w:tcW w:type="dxa" w:w="17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$70 / hour</w:t>
            </w:r>
          </w:p>
        </w:tc>
        <w:tc>
          <w:tcPr>
            <w:tcW w:type="dxa" w:w="214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$403,200</w:t>
            </w:r>
          </w:p>
        </w:tc>
      </w:tr>
    </w:tbl>
    <w:p>
      <w:pPr>
        <w:spacing w:after="60"/>
      </w:pPr>
    </w:p>
    <w:p>
      <w:pPr>
        <w:spacing w:after="90" w:line="268"/>
      </w:pPr>
      <w:r>
        <w:rPr>
          <w:rFonts w:ascii="Arial" w:cs="Arial" w:eastAsia="Arial" w:hAnsi="Arial"/>
          <w:color w:val="182127"/>
          <w:sz w:val="20"/>
          <w:szCs w:val="20"/>
        </w:rPr>
        <w:t xml:space="preserve">The base case implies $560 per request (8 hours at $70), well under the $1,400 reported figure, so the model is conservative if that benchmark still holds. The tail risks sit on top of the labor and are not priced here: a missed statutory deadline, and a wrong-person disclosure.</w:t>
      </w:r>
    </w:p>
    <w:p>
      <w:pPr>
        <w:keepNext/>
        <w:spacing w:after="70" w:before="220"/>
      </w:pPr>
      <w:r>
        <w:rPr>
          <w:rFonts w:ascii="Arial" w:cs="Arial" w:eastAsia="Arial" w:hAnsi="Arial"/>
          <w:b/>
          <w:bCs/>
          <w:color w:val="FC7900"/>
          <w:spacing w:val="30"/>
          <w:sz w:val="19"/>
          <w:szCs w:val="19"/>
        </w:rPr>
        <w:t xml:space="preserve">3. TARGET BUYER</w:t>
      </w:r>
    </w:p>
    <w:p>
      <w:pPr>
        <w:pStyle w:val="ListParagraph"/>
        <w:numPr>
          <w:ilvl w:val="0"/>
          <w:numId w:val="2"/>
        </w:numPr>
        <w:spacing w:after="50" w:line="262"/>
      </w:pPr>
      <w:r>
        <w:rPr>
          <w:rFonts w:ascii="Arial" w:cs="Arial" w:eastAsia="Arial" w:hAnsi="Arial"/>
          <w:b/>
          <w:bCs/>
          <w:color w:val="182127"/>
          <w:sz w:val="20"/>
          <w:szCs w:val="20"/>
        </w:rPr>
        <w:t xml:space="preserve">Economic buyer: </w:t>
      </w:r>
      <w:r>
        <w:rPr>
          <w:rFonts w:ascii="Arial" w:cs="Arial" w:eastAsia="Arial" w:hAnsi="Arial"/>
          <w:color w:val="182127"/>
          <w:sz w:val="20"/>
          <w:szCs w:val="20"/>
        </w:rPr>
        <w:t xml:space="preserve">head of privacy or general counsel, who owns the deadline and disclosure risk.</w:t>
      </w:r>
    </w:p>
    <w:p>
      <w:pPr>
        <w:pStyle w:val="ListParagraph"/>
        <w:numPr>
          <w:ilvl w:val="0"/>
          <w:numId w:val="2"/>
        </w:numPr>
        <w:spacing w:after="50" w:line="262"/>
      </w:pPr>
      <w:r>
        <w:rPr>
          <w:rFonts w:ascii="Arial" w:cs="Arial" w:eastAsia="Arial" w:hAnsi="Arial"/>
          <w:b/>
          <w:bCs/>
          <w:color w:val="182127"/>
          <w:sz w:val="20"/>
          <w:szCs w:val="20"/>
        </w:rPr>
        <w:t xml:space="preserve">Champion: </w:t>
      </w:r>
      <w:r>
        <w:rPr>
          <w:rFonts w:ascii="Arial" w:cs="Arial" w:eastAsia="Arial" w:hAnsi="Arial"/>
          <w:color w:val="182127"/>
          <w:sz w:val="20"/>
          <w:szCs w:val="20"/>
        </w:rPr>
        <w:t xml:space="preserve">privacy operations manager, who does the searching and reviewing today.</w:t>
      </w:r>
    </w:p>
    <w:p>
      <w:pPr>
        <w:pStyle w:val="ListParagraph"/>
        <w:numPr>
          <w:ilvl w:val="0"/>
          <w:numId w:val="2"/>
        </w:numPr>
        <w:spacing w:after="50" w:line="262"/>
      </w:pPr>
      <w:r>
        <w:rPr>
          <w:rFonts w:ascii="Arial" w:cs="Arial" w:eastAsia="Arial" w:hAnsi="Arial"/>
          <w:b/>
          <w:bCs/>
          <w:color w:val="182127"/>
          <w:sz w:val="20"/>
          <w:szCs w:val="20"/>
        </w:rPr>
        <w:t xml:space="preserve">Gatekeeper: </w:t>
      </w:r>
      <w:r>
        <w:rPr>
          <w:rFonts w:ascii="Arial" w:cs="Arial" w:eastAsia="Arial" w:hAnsi="Arial"/>
          <w:color w:val="182127"/>
          <w:sz w:val="20"/>
          <w:szCs w:val="20"/>
        </w:rPr>
        <w:t xml:space="preserve">IT and security, who must approve data access, hosting and the processing of personal data.</w:t>
      </w:r>
    </w:p>
    <w:p>
      <w:pPr>
        <w:spacing w:after="40"/>
      </w:pPr>
    </w:p>
    <w:p>
      <w:pPr>
        <w:spacing w:after="70" w:line="268"/>
      </w:pPr>
      <w:r>
        <w:rPr>
          <w:rFonts w:ascii="Arial" w:cs="Arial" w:eastAsia="Arial" w:hAnsi="Arial"/>
          <w:color w:val="182127"/>
          <w:sz w:val="20"/>
          <w:szCs w:val="20"/>
        </w:rPr>
        <w:t xml:space="preserve">Profile: regulated mid-size enterprises (banks, insurers, credit unions, retailers; roughly 1,000 to 10,000 employees) with steady request volume, a thin privacy team and no discovery platform. We would start in one vertical, such as regional insurance, to reuse the same repository types and data categories.</w:t>
      </w:r>
    </w:p>
    <w:p>
      <w:pPr>
        <w:keepNext/>
        <w:spacing w:after="70" w:before="220"/>
      </w:pPr>
      <w:r>
        <w:rPr>
          <w:rFonts w:ascii="Arial" w:cs="Arial" w:eastAsia="Arial" w:hAnsi="Arial"/>
          <w:b/>
          <w:bCs/>
          <w:color w:val="FC7900"/>
          <w:spacing w:val="30"/>
          <w:sz w:val="19"/>
          <w:szCs w:val="19"/>
        </w:rPr>
        <w:t xml:space="preserve">4. SOLUTION, EXPECTED IMPACT AND ROI LOGIC</w:t>
      </w:r>
    </w:p>
    <w:p>
      <w:pPr>
        <w:spacing w:after="90" w:line="268"/>
      </w:pPr>
      <w:r>
        <w:rPr>
          <w:rFonts w:ascii="Arial" w:cs="Arial" w:eastAsia="Arial" w:hAnsi="Arial"/>
          <w:color w:val="182127"/>
          <w:sz w:val="20"/>
          <w:szCs w:val="20"/>
        </w:rPr>
        <w:t xml:space="preserve">A deterministic pipeline parses, OCRs and applies detectors cheaply across the archive. Agents are used only where judgment is needed: ambiguous identity matches and files that fail to parse. Every run has hard token and spend budgets and a full trace. This architecture was built and tested in Use Case 3.</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000"/>
        <w:gridCol w:w="2540"/>
      </w:tblGrid>
      <w:tr>
        <w:trPr>
          <w:tblHeader/>
        </w:trPr>
        <w:tc>
          <w:tcPr>
            <w:tcW w:type="dxa" w:w="330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left"/>
            </w:pPr>
            <w:r>
              <w:rPr>
                <w:rFonts w:ascii="Arial" w:cs="Arial" w:eastAsia="Arial" w:hAnsi="Arial"/>
                <w:b/>
                <w:bCs/>
                <w:color w:val="FFFFFF"/>
                <w:sz w:val="17"/>
                <w:szCs w:val="17"/>
              </w:rPr>
              <w:t xml:space="preserve">Base case (30 requests / month)</w:t>
            </w:r>
          </w:p>
        </w:tc>
        <w:tc>
          <w:tcPr>
            <w:tcW w:type="dxa" w:w="200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Today</w:t>
            </w:r>
          </w:p>
        </w:tc>
        <w:tc>
          <w:tcPr>
            <w:tcW w:type="dxa" w:w="200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With copilot</w:t>
            </w:r>
          </w:p>
        </w:tc>
        <w:tc>
          <w:tcPr>
            <w:tcW w:type="dxa" w:w="254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left"/>
            </w:pPr>
            <w:r>
              <w:rPr>
                <w:rFonts w:ascii="Arial" w:cs="Arial" w:eastAsia="Arial" w:hAnsi="Arial"/>
                <w:b/>
                <w:bCs/>
                <w:color w:val="FFFFFF"/>
                <w:sz w:val="17"/>
                <w:szCs w:val="17"/>
              </w:rPr>
              <w:t xml:space="preserve">Basis</w:t>
            </w:r>
          </w:p>
        </w:tc>
      </w:tr>
      <w:tr>
        <w:trPr>
          <w:cantSplit/>
        </w:trPr>
        <w:tc>
          <w:tcPr>
            <w:tcW w:type="dxa" w:w="33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bCs/>
                <w:color w:val="182127"/>
                <w:sz w:val="17"/>
                <w:szCs w:val="17"/>
              </w:rPr>
              <w:t xml:space="preserve">Staff hours per request</w:t>
            </w:r>
          </w:p>
        </w:tc>
        <w:tc>
          <w:tcPr>
            <w:tcW w:type="dxa" w:w="20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8.0</w:t>
            </w:r>
          </w:p>
        </w:tc>
        <w:tc>
          <w:tcPr>
            <w:tcW w:type="dxa" w:w="20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2.5</w:t>
            </w:r>
          </w:p>
        </w:tc>
        <w:tc>
          <w:tcPr>
            <w:tcW w:type="dxa" w:w="254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Assumption: review a ready package, not search</w:t>
            </w:r>
          </w:p>
        </w:tc>
      </w:tr>
      <w:tr>
        <w:trPr>
          <w:cantSplit/>
        </w:trPr>
        <w:tc>
          <w:tcPr>
            <w:tcW w:type="dxa" w:w="33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bCs/>
                <w:color w:val="182127"/>
                <w:sz w:val="17"/>
                <w:szCs w:val="17"/>
              </w:rPr>
              <w:t xml:space="preserve">Annual labor cost</w:t>
            </w:r>
          </w:p>
        </w:tc>
        <w:tc>
          <w:tcPr>
            <w:tcW w:type="dxa" w:w="20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$201,600</w:t>
            </w:r>
          </w:p>
        </w:tc>
        <w:tc>
          <w:tcPr>
            <w:tcW w:type="dxa" w:w="20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$63,000</w:t>
            </w:r>
          </w:p>
        </w:tc>
        <w:tc>
          <w:tcPr>
            <w:tcW w:type="dxa" w:w="254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360 requests × hours × $70</w:t>
            </w:r>
          </w:p>
        </w:tc>
      </w:tr>
      <w:tr>
        <w:trPr>
          <w:cantSplit/>
        </w:trPr>
        <w:tc>
          <w:tcPr>
            <w:tcW w:type="dxa" w:w="33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bCs/>
                <w:color w:val="182127"/>
                <w:sz w:val="17"/>
                <w:szCs w:val="17"/>
              </w:rPr>
              <w:t xml:space="preserve">Annual labor removed</w:t>
            </w:r>
          </w:p>
        </w:tc>
        <w:tc>
          <w:tcPr>
            <w:tcW w:type="dxa" w:w="20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
            </w:r>
          </w:p>
        </w:tc>
        <w:tc>
          <w:tcPr>
            <w:tcW w:type="dxa" w:w="20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right"/>
            </w:pPr>
            <w:r>
              <w:rPr>
                <w:rFonts w:ascii="Arial" w:cs="Arial" w:eastAsia="Arial" w:hAnsi="Arial"/>
                <w:b w:val="false"/>
                <w:bCs w:val="false"/>
                <w:color w:val="182127"/>
                <w:sz w:val="17"/>
                <w:szCs w:val="17"/>
              </w:rPr>
              <w:t xml:space="preserve">$138,600</w:t>
            </w:r>
          </w:p>
        </w:tc>
        <w:tc>
          <w:tcPr>
            <w:tcW w:type="dxa" w:w="254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360 requests × 5.5 hours × $70</w:t>
            </w:r>
          </w:p>
        </w:tc>
      </w:tr>
    </w:tbl>
    <w:p>
      <w:pPr>
        <w:spacing w:after="60"/>
      </w:pPr>
    </w:p>
    <w:p>
      <w:pPr>
        <w:pStyle w:val="ListParagraph"/>
        <w:numPr>
          <w:ilvl w:val="0"/>
          <w:numId w:val="2"/>
        </w:numPr>
        <w:spacing w:after="50" w:line="262"/>
      </w:pPr>
      <w:r>
        <w:rPr>
          <w:rFonts w:ascii="Arial" w:cs="Arial" w:eastAsia="Arial" w:hAnsi="Arial"/>
          <w:b/>
          <w:bCs/>
          <w:color w:val="182127"/>
          <w:sz w:val="20"/>
          <w:szCs w:val="20"/>
        </w:rPr>
        <w:t xml:space="preserve">Break-even. </w:t>
      </w:r>
      <w:r>
        <w:rPr>
          <w:rFonts w:ascii="Arial" w:cs="Arial" w:eastAsia="Arial" w:hAnsi="Arial"/>
          <w:color w:val="182127"/>
          <w:sz w:val="20"/>
          <w:szCs w:val="20"/>
        </w:rPr>
        <w:t xml:space="preserve">At the base case, any all-in annual cost for the product (licence plus run cost) below $138,600 is net-positive. The build and run cost model is the next deliverable.</w:t>
      </w:r>
    </w:p>
    <w:p>
      <w:pPr>
        <w:pStyle w:val="ListParagraph"/>
        <w:numPr>
          <w:ilvl w:val="0"/>
          <w:numId w:val="2"/>
        </w:numPr>
        <w:spacing w:after="50" w:line="262"/>
      </w:pPr>
      <w:r>
        <w:rPr>
          <w:rFonts w:ascii="Arial" w:cs="Arial" w:eastAsia="Arial" w:hAnsi="Arial"/>
          <w:b/>
          <w:bCs/>
          <w:color w:val="182127"/>
          <w:sz w:val="20"/>
          <w:szCs w:val="20"/>
        </w:rPr>
        <w:t xml:space="preserve">Volume sensitivity. </w:t>
      </w:r>
      <w:r>
        <w:rPr>
          <w:rFonts w:ascii="Arial" w:cs="Arial" w:eastAsia="Arial" w:hAnsi="Arial"/>
          <w:color w:val="182127"/>
          <w:sz w:val="20"/>
          <w:szCs w:val="20"/>
        </w:rPr>
        <w:t xml:space="preserve">Savings scale with request volume: $46,200 a year at 10 requests a month, $138,600 at 30, $277,200 at 60.</w:t>
      </w:r>
    </w:p>
    <w:p>
      <w:pPr>
        <w:pStyle w:val="ListParagraph"/>
        <w:numPr>
          <w:ilvl w:val="0"/>
          <w:numId w:val="2"/>
        </w:numPr>
        <w:spacing w:after="50" w:line="262"/>
      </w:pPr>
      <w:r>
        <w:rPr>
          <w:rFonts w:ascii="Arial" w:cs="Arial" w:eastAsia="Arial" w:hAnsi="Arial"/>
          <w:b/>
          <w:bCs/>
          <w:color w:val="182127"/>
          <w:sz w:val="20"/>
          <w:szCs w:val="20"/>
        </w:rPr>
        <w:t xml:space="preserve">Not monetized. </w:t>
      </w:r>
      <w:r>
        <w:rPr>
          <w:rFonts w:ascii="Arial" w:cs="Arial" w:eastAsia="Arial" w:hAnsi="Arial"/>
          <w:color w:val="182127"/>
          <w:sz w:val="20"/>
          <w:szCs w:val="20"/>
        </w:rPr>
        <w:t xml:space="preserve">Fewer missed deadlines and fewer wrong-person disclosures. The pilot will measure both, because these are what a privacy head is judged on.</w:t>
      </w:r>
    </w:p>
    <w:p>
      <w:pPr>
        <w:keepNext/>
        <w:spacing w:after="70" w:before="220"/>
      </w:pPr>
      <w:r>
        <w:rPr>
          <w:rFonts w:ascii="Arial" w:cs="Arial" w:eastAsia="Arial" w:hAnsi="Arial"/>
          <w:b/>
          <w:bCs/>
          <w:color w:val="FC7900"/>
          <w:spacing w:val="30"/>
          <w:sz w:val="19"/>
          <w:szCs w:val="19"/>
        </w:rPr>
        <w:t xml:space="preserve">5. ALTERNATIVES, INCLUDING DOING NOTHING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000"/>
        <w:gridCol w:w="3240"/>
      </w:tblGrid>
      <w:tr>
        <w:trPr>
          <w:tblHeader/>
        </w:trPr>
        <w:tc>
          <w:tcPr>
            <w:tcW w:type="dxa" w:w="190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left"/>
            </w:pPr>
            <w:r>
              <w:rPr>
                <w:rFonts w:ascii="Arial" w:cs="Arial" w:eastAsia="Arial" w:hAnsi="Arial"/>
                <w:b/>
                <w:bCs/>
                <w:color w:val="FFFFFF"/>
                <w:sz w:val="17"/>
                <w:szCs w:val="17"/>
              </w:rPr>
              <w:t xml:space="preserve">Option</w:t>
            </w:r>
          </w:p>
        </w:tc>
        <w:tc>
          <w:tcPr>
            <w:tcW w:type="dxa" w:w="270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left"/>
            </w:pPr>
            <w:r>
              <w:rPr>
                <w:rFonts w:ascii="Arial" w:cs="Arial" w:eastAsia="Arial" w:hAnsi="Arial"/>
                <w:b/>
                <w:bCs/>
                <w:color w:val="FFFFFF"/>
                <w:sz w:val="17"/>
                <w:szCs w:val="17"/>
              </w:rPr>
              <w:t xml:space="preserve">What it is</w:t>
            </w:r>
          </w:p>
        </w:tc>
        <w:tc>
          <w:tcPr>
            <w:tcW w:type="dxa" w:w="200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left"/>
            </w:pPr>
            <w:r>
              <w:rPr>
                <w:rFonts w:ascii="Arial" w:cs="Arial" w:eastAsia="Arial" w:hAnsi="Arial"/>
                <w:b/>
                <w:bCs/>
                <w:color w:val="FFFFFF"/>
                <w:sz w:val="17"/>
                <w:szCs w:val="17"/>
              </w:rPr>
              <w:t xml:space="preserve">Strength</w:t>
            </w:r>
          </w:p>
        </w:tc>
        <w:tc>
          <w:tcPr>
            <w:tcW w:type="dxa" w:w="324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left"/>
            </w:pPr>
            <w:r>
              <w:rPr>
                <w:rFonts w:ascii="Arial" w:cs="Arial" w:eastAsia="Arial" w:hAnsi="Arial"/>
                <w:b/>
                <w:bCs/>
                <w:color w:val="FFFFFF"/>
                <w:sz w:val="17"/>
                <w:szCs w:val="17"/>
              </w:rPr>
              <w:t xml:space="preserve">Gap for this buyer</w:t>
            </w:r>
          </w:p>
        </w:tc>
      </w:tr>
      <w:tr>
        <w:trPr>
          <w:cantSplit/>
        </w:trPr>
        <w:tc>
          <w:tcPr>
            <w:tcW w:type="dxa" w:w="19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bCs/>
                <w:color w:val="182127"/>
                <w:sz w:val="17"/>
                <w:szCs w:val="17"/>
              </w:rPr>
              <w:t xml:space="preserve">Do nothing</w:t>
            </w:r>
          </w:p>
        </w:tc>
        <w:tc>
          <w:tcPr>
            <w:tcW w:type="dxa" w:w="27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Keyword search and manual reading</w:t>
            </w:r>
          </w:p>
        </w:tc>
        <w:tc>
          <w:tcPr>
            <w:tcW w:type="dxa" w:w="20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No new spend or vendor review</w:t>
            </w:r>
          </w:p>
        </w:tc>
        <w:tc>
          <w:tcPr>
            <w:tcW w:type="dxa" w:w="324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Labor cost above remains; deadline and wrong-person risk grow with request volume.</w:t>
            </w:r>
          </w:p>
        </w:tc>
      </w:tr>
      <w:tr>
        <w:trPr>
          <w:cantSplit/>
        </w:trPr>
        <w:tc>
          <w:tcPr>
            <w:tcW w:type="dxa" w:w="19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bCs/>
                <w:color w:val="182127"/>
                <w:sz w:val="17"/>
                <w:szCs w:val="17"/>
              </w:rPr>
              <w:t xml:space="preserve">Privacy platforms</w:t>
            </w:r>
          </w:p>
        </w:tc>
        <w:tc>
          <w:tcPr>
            <w:tcW w:type="dxa" w:w="27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OneTrust, Securiti, DataGrail, Transcend and similar: intake, workflow, connectors. A vendor review lists OneTrust and Securiti as also discovering unstructured data.</w:t>
            </w:r>
          </w:p>
        </w:tc>
        <w:tc>
          <w:tcPr>
            <w:tcW w:type="dxa" w:w="20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Established, bundled with consent and compliance tooling; OneTrust is listed from about $10,000 a year</w:t>
            </w:r>
          </w:p>
        </w:tc>
        <w:tc>
          <w:tcPr>
            <w:tcW w:type="dxa" w:w="324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The strongest alternative. Connector-led fulfilment fits structured systems best. We must prove better identity resolution and evidence-linked output on unstructured archives, not assume it.</w:t>
            </w:r>
          </w:p>
        </w:tc>
      </w:tr>
      <w:tr>
        <w:trPr>
          <w:cantSplit/>
        </w:trPr>
        <w:tc>
          <w:tcPr>
            <w:tcW w:type="dxa" w:w="19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bCs/>
                <w:color w:val="182127"/>
                <w:sz w:val="17"/>
                <w:szCs w:val="17"/>
              </w:rPr>
              <w:t xml:space="preserve">Build in-house</w:t>
            </w:r>
          </w:p>
        </w:tc>
        <w:tc>
          <w:tcPr>
            <w:tcW w:type="dxa" w:w="27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A general LLM chat tool over exported files</w:t>
            </w:r>
          </w:p>
        </w:tc>
        <w:tc>
          <w:tcPr>
            <w:tcW w:type="dxa" w:w="20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Cheap to start</w:t>
            </w:r>
          </w:p>
        </w:tc>
        <w:tc>
          <w:tcPr>
            <w:tcW w:type="dxa" w:w="324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No identity resolution, no audit trail, and personal data sent to a general tool.</w:t>
            </w:r>
          </w:p>
        </w:tc>
      </w:tr>
    </w:tbl>
    <w:p>
      <w:pPr>
        <w:spacing w:after="60"/>
      </w:pPr>
    </w:p>
    <w:p>
      <w:pPr>
        <w:spacing w:after="90" w:line="268"/>
      </w:pPr>
      <w:r>
        <w:rPr>
          <w:rFonts w:ascii="Arial" w:cs="Arial" w:eastAsia="Arial" w:hAnsi="Arial"/>
          <w:color w:val="182127"/>
          <w:sz w:val="20"/>
          <w:szCs w:val="20"/>
        </w:rPr>
        <w:t xml:space="preserve">We do not claim incumbents lack unstructured discovery. Our wedge is narrower: identity-resolved, evidence-linked packages with a mandatory human gate, at a price a mid-size team can pilot. The copilot could also sit behind a platform as its unstructured-data fulfilment step.</w:t>
      </w:r>
    </w:p>
    <w:p>
      <w:pPr>
        <w:keepNext/>
        <w:spacing w:after="70" w:before="220"/>
      </w:pPr>
      <w:r>
        <w:rPr>
          <w:rFonts w:ascii="Arial" w:cs="Arial" w:eastAsia="Arial" w:hAnsi="Arial"/>
          <w:b/>
          <w:bCs/>
          <w:color w:val="FC7900"/>
          <w:spacing w:val="30"/>
          <w:sz w:val="19"/>
          <w:szCs w:val="19"/>
        </w:rPr>
        <w:t xml:space="preserve">6. RISKS AND MITIGATIONS</w:t>
      </w:r>
    </w:p>
    <w:p>
      <w:pPr>
        <w:spacing w:after="70" w:line="268"/>
      </w:pPr>
      <w:r>
        <w:rPr>
          <w:rFonts w:ascii="Arial" w:cs="Arial" w:eastAsia="Arial" w:hAnsi="Arial"/>
          <w:color w:val="182127"/>
          <w:sz w:val="20"/>
          <w:szCs w:val="20"/>
        </w:rPr>
        <w:t xml:space="preserve">All accuracy figures below come from a synthetic corpus we generated for Use Case 3. They show where the system is weak, not how it will perform on a real archive.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4040"/>
      </w:tblGrid>
      <w:tr>
        <w:trPr>
          <w:tblHeader/>
        </w:trPr>
        <w:tc>
          <w:tcPr>
            <w:tcW w:type="dxa" w:w="190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left"/>
            </w:pPr>
            <w:r>
              <w:rPr>
                <w:rFonts w:ascii="Arial" w:cs="Arial" w:eastAsia="Arial" w:hAnsi="Arial"/>
                <w:b/>
                <w:bCs/>
                <w:color w:val="FFFFFF"/>
                <w:sz w:val="17"/>
                <w:szCs w:val="17"/>
              </w:rPr>
              <w:t xml:space="preserve">Risk</w:t>
            </w:r>
          </w:p>
        </w:tc>
        <w:tc>
          <w:tcPr>
            <w:tcW w:type="dxa" w:w="390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left"/>
            </w:pPr>
            <w:r>
              <w:rPr>
                <w:rFonts w:ascii="Arial" w:cs="Arial" w:eastAsia="Arial" w:hAnsi="Arial"/>
                <w:b/>
                <w:bCs/>
                <w:color w:val="FFFFFF"/>
                <w:sz w:val="17"/>
                <w:szCs w:val="17"/>
              </w:rPr>
              <w:t xml:space="preserve">Evidence</w:t>
            </w:r>
          </w:p>
        </w:tc>
        <w:tc>
          <w:tcPr>
            <w:tcW w:type="dxa" w:w="4040"/>
            <w:tcBorders>
              <w:top w:val="single" w:color="D5DADD" w:sz="4"/>
              <w:left w:val="single" w:color="D5DADD" w:sz="4"/>
              <w:bottom w:val="single" w:color="D5DADD" w:sz="4"/>
              <w:right w:val="single" w:color="D5DADD" w:sz="4"/>
            </w:tcBorders>
            <w:shd w:fill="182127" w:color="auto" w:val="clear"/>
            <w:tcMar>
              <w:top w:type="dxa" w:w="60"/>
              <w:left w:type="dxa" w:w="100"/>
              <w:bottom w:type="dxa" w:w="60"/>
              <w:right w:type="dxa" w:w="100"/>
            </w:tcMar>
          </w:tcPr>
          <w:p>
            <w:pPr>
              <w:jc w:val="left"/>
            </w:pPr>
            <w:r>
              <w:rPr>
                <w:rFonts w:ascii="Arial" w:cs="Arial" w:eastAsia="Arial" w:hAnsi="Arial"/>
                <w:b/>
                <w:bCs/>
                <w:color w:val="FFFFFF"/>
                <w:sz w:val="17"/>
                <w:szCs w:val="17"/>
              </w:rPr>
              <w:t xml:space="preserve">Mitigation</w:t>
            </w:r>
          </w:p>
        </w:tc>
      </w:tr>
      <w:tr>
        <w:trPr>
          <w:cantSplit/>
        </w:trPr>
        <w:tc>
          <w:tcPr>
            <w:tcW w:type="dxa" w:w="19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bCs/>
                <w:color w:val="182127"/>
                <w:sz w:val="17"/>
                <w:szCs w:val="17"/>
              </w:rPr>
              <w:t xml:space="preserve">Wrong-person disclosure</w:t>
            </w:r>
          </w:p>
        </w:tc>
        <w:tc>
          <w:tcPr>
            <w:tcW w:type="dxa" w:w="39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Name-variant linking was the weakest measured component: 56.1% (32 of 57) in our test.</w:t>
            </w:r>
          </w:p>
        </w:tc>
        <w:tc>
          <w:tcPr>
            <w:tcW w:type="dxa" w:w="404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Mandatory human review below a confidence threshold; third-party data flagged; wrong-person disclosures are the primary pilot metric.</w:t>
            </w:r>
          </w:p>
        </w:tc>
      </w:tr>
      <w:tr>
        <w:trPr>
          <w:cantSplit/>
        </w:trPr>
        <w:tc>
          <w:tcPr>
            <w:tcW w:type="dxa" w:w="19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bCs/>
                <w:color w:val="182127"/>
                <w:sz w:val="17"/>
                <w:szCs w:val="17"/>
              </w:rPr>
              <w:t xml:space="preserve">Missed records</w:t>
            </w:r>
          </w:p>
        </w:tc>
        <w:tc>
          <w:tcPr>
            <w:tcW w:type="dxa" w:w="39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Overall extraction recall 96.9% (1,713 of 1,767 planted fields), but 42.3% for scanned financial accounts (11 of 26) and 85.5% for scanned name-and-SSN records (53 of 62).</w:t>
            </w:r>
          </w:p>
        </w:tc>
        <w:tc>
          <w:tcPr>
            <w:tcW w:type="dxa" w:w="404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Route scans to a stronger OCR and model tier; independent QA re-check; show a per-request coverage report of what could not be searched.</w:t>
            </w:r>
          </w:p>
        </w:tc>
      </w:tr>
      <w:tr>
        <w:trPr>
          <w:cantSplit/>
        </w:trPr>
        <w:tc>
          <w:tcPr>
            <w:tcW w:type="dxa" w:w="19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bCs/>
                <w:color w:val="182127"/>
                <w:sz w:val="17"/>
                <w:szCs w:val="17"/>
              </w:rPr>
              <w:t xml:space="preserve">Synthetic-data gap</w:t>
            </w:r>
          </w:p>
        </w:tc>
        <w:tc>
          <w:tcPr>
            <w:tcW w:type="dxa" w:w="39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Real archives are messier than a generated corpus.</w:t>
            </w:r>
          </w:p>
        </w:tc>
        <w:tc>
          <w:tcPr>
            <w:tcW w:type="dxa" w:w="404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Pilot on a real archive under client controls, scored against a hand-labeled sample.</w:t>
            </w:r>
          </w:p>
        </w:tc>
      </w:tr>
      <w:tr>
        <w:trPr>
          <w:cantSplit/>
        </w:trPr>
        <w:tc>
          <w:tcPr>
            <w:tcW w:type="dxa" w:w="19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bCs/>
                <w:color w:val="182127"/>
                <w:sz w:val="17"/>
                <w:szCs w:val="17"/>
              </w:rPr>
              <w:t xml:space="preserve">Data access and security</w:t>
            </w:r>
          </w:p>
        </w:tc>
        <w:tc>
          <w:tcPr>
            <w:tcW w:type="dxa" w:w="39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The tool itself processes personal data; IT must approve it.</w:t>
            </w:r>
          </w:p>
        </w:tc>
        <w:tc>
          <w:tcPr>
            <w:tcW w:type="dxa" w:w="404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Deploy in the client’s own tenant, least-privilege read access, full audit trail, no training on client data.</w:t>
            </w:r>
          </w:p>
        </w:tc>
      </w:tr>
      <w:tr>
        <w:trPr>
          <w:cantSplit/>
        </w:trPr>
        <w:tc>
          <w:tcPr>
            <w:tcW w:type="dxa" w:w="19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bCs/>
                <w:color w:val="182127"/>
                <w:sz w:val="17"/>
                <w:szCs w:val="17"/>
              </w:rPr>
              <w:t xml:space="preserve">Trust and adoption</w:t>
            </w:r>
          </w:p>
        </w:tc>
        <w:tc>
          <w:tcPr>
            <w:tcW w:type="dxa" w:w="390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Privacy teams are accountable for every release.</w:t>
            </w:r>
          </w:p>
        </w:tc>
        <w:tc>
          <w:tcPr>
            <w:tcW w:type="dxa" w:w="4040"/>
            <w:tcBorders>
              <w:top w:val="single" w:color="D5DADD" w:sz="4"/>
              <w:left w:val="single" w:color="D5DADD" w:sz="4"/>
              <w:bottom w:val="single" w:color="D5DADD" w:sz="4"/>
              <w:right w:val="single" w:color="D5DADD" w:sz="4"/>
            </w:tcBorders>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Human approval gate, and evidence links so a reviewer can verify each item in seconds.</w:t>
            </w:r>
          </w:p>
        </w:tc>
      </w:tr>
      <w:tr>
        <w:trPr>
          <w:cantSplit/>
        </w:trPr>
        <w:tc>
          <w:tcPr>
            <w:tcW w:type="dxa" w:w="19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bCs/>
                <w:color w:val="182127"/>
                <w:sz w:val="17"/>
                <w:szCs w:val="17"/>
              </w:rPr>
              <w:t xml:space="preserve">Competitive response</w:t>
            </w:r>
          </w:p>
        </w:tc>
        <w:tc>
          <w:tcPr>
            <w:tcW w:type="dxa" w:w="390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Platforms keep extending discovery features.</w:t>
            </w:r>
          </w:p>
        </w:tc>
        <w:tc>
          <w:tcPr>
            <w:tcW w:type="dxa" w:w="4040"/>
            <w:tcBorders>
              <w:top w:val="single" w:color="D5DADD" w:sz="4"/>
              <w:left w:val="single" w:color="D5DADD" w:sz="4"/>
              <w:bottom w:val="single" w:color="D5DADD" w:sz="4"/>
              <w:right w:val="single" w:color="D5DADD" w:sz="4"/>
            </w:tcBorders>
            <w:shd w:fill="F1F3F4" w:color="auto" w:val="clear"/>
            <w:tcMar>
              <w:top w:type="dxa" w:w="60"/>
              <w:left w:type="dxa" w:w="100"/>
              <w:bottom w:type="dxa" w:w="60"/>
              <w:right w:type="dxa" w:w="100"/>
            </w:tcMar>
          </w:tcPr>
          <w:p>
            <w:pPr>
              <w:jc w:val="left"/>
            </w:pPr>
            <w:r>
              <w:rPr>
                <w:rFonts w:ascii="Arial" w:cs="Arial" w:eastAsia="Arial" w:hAnsi="Arial"/>
                <w:b w:val="false"/>
                <w:bCs w:val="false"/>
                <w:color w:val="182127"/>
                <w:sz w:val="17"/>
                <w:szCs w:val="17"/>
              </w:rPr>
              <w:t xml:space="preserve">Compete on resolution quality and evidence; integrate rather than replace.</w:t>
            </w:r>
          </w:p>
        </w:tc>
      </w:tr>
    </w:tbl>
    <w:p>
      <w:pPr>
        <w:keepNext/>
        <w:spacing w:after="70" w:before="220"/>
      </w:pPr>
      <w:r>
        <w:rPr>
          <w:rFonts w:ascii="Arial" w:cs="Arial" w:eastAsia="Arial" w:hAnsi="Arial"/>
          <w:b/>
          <w:bCs/>
          <w:color w:val="FC7900"/>
          <w:spacing w:val="30"/>
          <w:sz w:val="19"/>
          <w:szCs w:val="19"/>
        </w:rPr>
        <w:t xml:space="preserve">7. THE ASK</w:t>
      </w:r>
    </w:p>
    <w:p>
      <w:pPr>
        <w:spacing w:after="90" w:line="268"/>
      </w:pPr>
      <w:r>
        <w:rPr>
          <w:rFonts w:ascii="Arial" w:cs="Arial" w:eastAsia="Arial" w:hAnsi="Arial"/>
          <w:color w:val="182127"/>
          <w:sz w:val="20"/>
          <w:szCs w:val="20"/>
        </w:rPr>
        <w:t xml:space="preserve">An 8-week pilot with one client on one repository set. Success is measured on four numbers: staff hours per request against a measured baseline, wrong-person disclosures reaching release (target zero), share of requests answered inside the deadline, and the share of suggested items reviewers accept. A strong result moves to a production proposal with the cost model attached.</w:t>
      </w:r>
    </w:p>
    <w:p>
      <w:pPr>
        <w:keepNext/>
        <w:spacing w:after="70" w:before="220"/>
      </w:pPr>
      <w:r>
        <w:rPr>
          <w:rFonts w:ascii="Arial" w:cs="Arial" w:eastAsia="Arial" w:hAnsi="Arial"/>
          <w:b/>
          <w:bCs/>
          <w:color w:val="FC7900"/>
          <w:spacing w:val="30"/>
          <w:sz w:val="19"/>
          <w:szCs w:val="19"/>
        </w:rPr>
        <w:t xml:space="preserve">SOURCES</w:t>
      </w:r>
    </w:p>
    <w:p>
      <w:pPr>
        <w:spacing w:after="40"/>
      </w:pPr>
      <w:r>
        <w:rPr>
          <w:rFonts w:ascii="Arial" w:cs="Arial" w:eastAsia="Arial" w:hAnsi="Arial"/>
          <w:color w:val="182127"/>
          <w:sz w:val="17"/>
          <w:szCs w:val="17"/>
        </w:rPr>
        <w:t xml:space="preserve">GDPR Art. 12(3) and CCPA § 1798.130 deadlines, as summarized (verify against the primary texts): </w:t>
      </w:r>
      <w:hyperlink w:history="1" r:id="rIdunwr1s_grneyhvq3r8b4y">
        <w:r>
          <w:rPr>
            <w:rFonts w:ascii="Arial" w:cs="Arial" w:eastAsia="Arial" w:hAnsi="Arial"/>
            <w:color w:val="0B5CAD"/>
            <w:sz w:val="17"/>
            <w:szCs w:val="17"/>
            <w:u w:val="single"/>
          </w:rPr>
          <w:t xml:space="preserve">complyfine.com</w:t>
        </w:r>
      </w:hyperlink>
    </w:p>
    <w:p>
      <w:pPr>
        <w:spacing w:after="40"/>
      </w:pPr>
      <w:r>
        <w:rPr>
          <w:rFonts w:ascii="Arial" w:cs="Arial" w:eastAsia="Arial" w:hAnsi="Arial"/>
          <w:color w:val="182127"/>
          <w:sz w:val="17"/>
          <w:szCs w:val="17"/>
        </w:rPr>
        <w:t xml:space="preserve">Gartner $1,400 per request and Talend 58% missed deadline, as reported December 2019: </w:t>
      </w:r>
      <w:hyperlink w:history="1" r:id="rId-ibxecoaizulnudaqwmvk">
        <w:r>
          <w:rPr>
            <w:rFonts w:ascii="Arial" w:cs="Arial" w:eastAsia="Arial" w:hAnsi="Arial"/>
            <w:color w:val="0B5CAD"/>
            <w:sz w:val="17"/>
            <w:szCs w:val="17"/>
            <w:u w:val="single"/>
          </w:rPr>
          <w:t xml:space="preserve">CIO Dive</w:t>
        </w:r>
      </w:hyperlink>
    </w:p>
    <w:p>
      <w:pPr>
        <w:spacing w:after="40"/>
      </w:pPr>
      <w:r>
        <w:rPr>
          <w:rFonts w:ascii="Arial" w:cs="Arial" w:eastAsia="Arial" w:hAnsi="Arial"/>
          <w:color w:val="182127"/>
          <w:sz w:val="17"/>
          <w:szCs w:val="17"/>
        </w:rPr>
        <w:t xml:space="preserve">Vendor capabilities and OneTrust pricing from about $10,000 a year: </w:t>
      </w:r>
      <w:hyperlink w:history="1" r:id="rId8yia8itry-f0nodqx-t3w">
        <w:r>
          <w:rPr>
            <w:rFonts w:ascii="Arial" w:cs="Arial" w:eastAsia="Arial" w:hAnsi="Arial"/>
            <w:color w:val="0B5CAD"/>
            <w:sz w:val="17"/>
            <w:szCs w:val="17"/>
            <w:u w:val="single"/>
          </w:rPr>
          <w:t xml:space="preserve">Expert Insights</w:t>
        </w:r>
      </w:hyperlink>
    </w:p>
    <w:p>
      <w:pPr>
        <w:spacing w:after="40"/>
      </w:pPr>
      <w:r>
        <w:rPr>
          <w:rFonts w:ascii="Arial" w:cs="Arial" w:eastAsia="Arial" w:hAnsi="Arial"/>
          <w:color w:val="182127"/>
          <w:sz w:val="17"/>
          <w:szCs w:val="17"/>
        </w:rPr>
        <w:t xml:space="preserve">Accuracy figures: Use Case 3 full-corpus accuracy report against the synthetic ground-truth manifest.</w:t>
      </w:r>
    </w:p>
    <w:sectPr>
      <w:footerReference w:type="default" r:id="rId7"/>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5A656C"/>
        <w:sz w:val="15"/>
        <w:szCs w:val="15"/>
      </w:rPr>
      <w:t xml:space="preserve">DataFactZ  ·  Innovation Pitch  ·  Business case: Subject-Access Copilot  ·  Page </w:t>
    </w:r>
    <w:r>
      <w:rPr>
        <w:rFonts w:ascii="Arial" w:cs="Arial" w:eastAsia="Arial" w:hAnsi="Arial"/>
        <w:color w:val="5A656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nwr1s_grneyhvq3r8b4y" Type="http://schemas.openxmlformats.org/officeDocument/2006/relationships/hyperlink" Target="https://www.complyfine.com/us-privacy-laws/dsar-deadline-gdpr-vs-ccpa" TargetMode="External"/><Relationship Id="rId-ibxecoaizulnudaqwmvk" Type="http://schemas.openxmlformats.org/officeDocument/2006/relationships/hyperlink" Target="https://www.ciodive.com/news/58-of-companies-fail-to-meet-gdprs-data-request-deadlines/568416/" TargetMode="External"/><Relationship Id="rId8yia8itry-f0nodqx-t3w" Type="http://schemas.openxmlformats.org/officeDocument/2006/relationships/hyperlink" Target="https://expertinsights.com/compliance/top-data-subject-access-request-dsar-softwar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 Subject-Access Copilot</dc:title>
  <dc:creator>Sriram Kodati</dc:creator>
  <cp:lastModifiedBy>Un-named</cp:lastModifiedBy>
  <cp:revision>1</cp:revision>
  <dcterms:created xsi:type="dcterms:W3CDTF">2026-10-14T02:36:08.544Z</dcterms:created>
  <dcterms:modified xsi:type="dcterms:W3CDTF">2026-10-14T02:36:08.544Z</dcterms:modified>
</cp:coreProperties>
</file>

<file path=docProps/custom.xml><?xml version="1.0" encoding="utf-8"?>
<Properties xmlns="http://schemas.openxmlformats.org/officeDocument/2006/custom-properties" xmlns:vt="http://schemas.openxmlformats.org/officeDocument/2006/docPropsVTypes"/>
</file>