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School Examination Marks and Report Card Management System</w:t>
      </w:r>
    </w:p>
    <w:p>
      <w:pPr>
        <w:jc w:val="center"/>
      </w:pPr>
      <w:r>
        <w:rPr>
          <w:b/>
          <w:sz w:val="30"/>
        </w:rPr>
        <w:t>Business and Functional Requirements Document</w:t>
      </w:r>
    </w:p>
    <w:p>
      <w:pPr>
        <w:jc w:val="center"/>
      </w:pPr>
      <w:r>
        <w:rPr>
          <w:b/>
          <w:sz w:val="26"/>
        </w:rPr>
        <w:t>Version 1.3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Phase 2 Business Rules – requirements update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Version 1.2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Record confirmed Phase 2 decisions and remaining clarifications before database design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v1.2 as current working baseline; v1.1 and v1.2 remain unchanged historical documents</w:t>
            </w:r>
          </w:p>
        </w:tc>
      </w:tr>
    </w:tbl>
    <w:p>
      <w:pPr>
        <w:pStyle w:val="Heading1"/>
      </w:pPr>
      <w:r>
        <w:t>1. Confirmed Business Rules</w:t>
      </w:r>
    </w:p>
    <w:p>
      <w:pPr>
        <w:pStyle w:val="Heading2"/>
      </w:pPr>
      <w:r>
        <w:t>Users and mark permissions</w:t>
      </w:r>
    </w:p>
    <w:p>
      <w:pPr>
        <w:pStyle w:val="ListBullet"/>
      </w:pPr>
      <w:r>
        <w:t>BR-001 Subject Teachers may enter and edit marks for authorised subject/class/section/assessment combinations.</w:t>
      </w:r>
    </w:p>
    <w:p>
      <w:pPr>
        <w:pStyle w:val="ListBullet"/>
      </w:pPr>
      <w:r>
        <w:t>BR-002 A Class Teacher assigned to a class/section automatically accesses every applicable subject without separate subject assignments.</w:t>
      </w:r>
    </w:p>
    <w:p>
      <w:pPr>
        <w:pStyle w:val="ListBullet"/>
      </w:pPr>
      <w:r>
        <w:t>BR-003 A Class Teacher may view, enter and edit all applicable subject marks, including marks entered by a Subject Teacher.</w:t>
      </w:r>
    </w:p>
    <w:p>
      <w:pPr>
        <w:pStyle w:val="ListBullet"/>
      </w:pPr>
      <w:r>
        <w:t>BR-004 Administrator may edit marks and manage all approved functions.</w:t>
      </w:r>
    </w:p>
    <w:p>
      <w:pPr>
        <w:pStyle w:val="ListBullet"/>
      </w:pPr>
      <w:r>
        <w:t>BR-005 Office Staff may edit any mark and perform the approved day-to-day academic functions.</w:t>
      </w:r>
    </w:p>
    <w:p>
      <w:pPr>
        <w:pStyle w:val="ListBullet"/>
      </w:pPr>
      <w:r>
        <w:t>BR-006 When authorised users edit the same mark, the latest authorised saved value becomes current and the change is logged.</w:t>
      </w:r>
    </w:p>
    <w:p>
      <w:pPr>
        <w:pStyle w:val="ListBullet"/>
      </w:pPr>
      <w:r>
        <w:t>BR-007 No teacher mark-locking deadline is required; authorised users may correct marks while the relevant academic context permits editing.</w:t>
      </w:r>
    </w:p>
    <w:p>
      <w:pPr>
        <w:pStyle w:val="ListBullet"/>
      </w:pPr>
      <w:r>
        <w:t>BR-008 Newly generated reports use the latest saved mark.</w:t>
      </w:r>
    </w:p>
    <w:p>
      <w:pPr>
        <w:pStyle w:val="Heading2"/>
      </w:pPr>
      <w:r>
        <w:t>Mark states</w:t>
      </w:r>
    </w:p>
    <w:p>
      <w:pPr>
        <w:pStyle w:val="ListBullet"/>
      </w:pPr>
      <w:r>
        <w:t>BR-009 Blank means no result has been entered and is not zero.</w:t>
      </w:r>
    </w:p>
    <w:p>
      <w:pPr>
        <w:pStyle w:val="ListBullet"/>
      </w:pPr>
      <w:r>
        <w:t>BR-010 Numeric 0 means the student was assessed and received zero.</w:t>
      </w:r>
    </w:p>
    <w:p>
      <w:pPr>
        <w:pStyle w:val="ListBullet"/>
      </w:pPr>
      <w:r>
        <w:t>BR-011 A means absent; it displays as A and contributes 0 to calculations.</w:t>
      </w:r>
    </w:p>
    <w:p>
      <w:pPr>
        <w:pStyle w:val="ListBullet"/>
      </w:pPr>
      <w:r>
        <w:t>BR-012 A is a valid completed result; blank is incomplete.</w:t>
      </w:r>
    </w:p>
    <w:p>
      <w:pPr>
        <w:pStyle w:val="ListBullet"/>
      </w:pPr>
      <w:r>
        <w:t>BR-013 If all assessments contributing to a calculation are A, the resulting percentage is 0%.</w:t>
      </w:r>
    </w:p>
    <w:p>
      <w:pPr>
        <w:pStyle w:val="ListBullet"/>
      </w:pPr>
      <w:r>
        <w:t>BR-014 Only numeric, blank and A are supported in this version; EX, WH and NA are excluded.</w:t>
      </w:r>
    </w:p>
    <w:p>
      <w:pPr>
        <w:pStyle w:val="Heading2"/>
      </w:pPr>
      <w:r>
        <w:t>Assessments</w:t>
      </w:r>
    </w:p>
    <w:p>
      <w:pPr>
        <w:pStyle w:val="ListBullet"/>
      </w:pPr>
      <w:r>
        <w:t>BR-015 Administrator and Office Staff create/configure assessments.</w:t>
      </w:r>
    </w:p>
    <w:p>
      <w:pPr>
        <w:pStyle w:val="ListBullet"/>
      </w:pPr>
      <w:r>
        <w:t>BR-016 Each assessment has an assessment type and a specific name, e.g. Unit Test / Unit Test 1.</w:t>
      </w:r>
    </w:p>
    <w:p>
      <w:pPr>
        <w:pStyle w:val="ListBullet"/>
      </w:pPr>
      <w:r>
        <w:t>BR-017 Assessment names are flexible.</w:t>
      </w:r>
    </w:p>
    <w:p>
      <w:pPr>
        <w:pStyle w:val="ListBullet"/>
      </w:pPr>
      <w:r>
        <w:t>BR-018 Maximum marks may differ between assessments.</w:t>
      </w:r>
    </w:p>
    <w:p>
      <w:pPr>
        <w:pStyle w:val="ListBullet"/>
      </w:pPr>
      <w:r>
        <w:t>BR-019 Maximum marks may differ by subject within the same assessment.</w:t>
      </w:r>
    </w:p>
    <w:p>
      <w:pPr>
        <w:pStyle w:val="ListBullet"/>
      </w:pPr>
      <w:r>
        <w:t>BR-020 Assessment applicability is configured for relevant classes/sections/subjects.</w:t>
      </w:r>
    </w:p>
    <w:p>
      <w:pPr>
        <w:pStyle w:val="ListBullet"/>
      </w:pPr>
      <w:r>
        <w:t>BR-021 A test configured only for selected classes appears only for those applicable classes.</w:t>
      </w:r>
    </w:p>
    <w:p>
      <w:pPr>
        <w:pStyle w:val="ListBullet"/>
      </w:pPr>
      <w:r>
        <w:t>BR-022 School-wide report assessment selection is retained; class-specific display overrides are removed.</w:t>
      </w:r>
    </w:p>
    <w:p>
      <w:pPr>
        <w:pStyle w:val="ListBullet"/>
      </w:pPr>
      <w:r>
        <w:t>BR-023 Display selection and calculation selection are separate.</w:t>
      </w:r>
    </w:p>
    <w:p>
      <w:pPr>
        <w:pStyle w:val="ListBullet"/>
      </w:pPr>
      <w:r>
        <w:t>BR-024 A displayed assessment need not contribute to the term calculation.</w:t>
      </w:r>
    </w:p>
    <w:p>
      <w:pPr>
        <w:pStyle w:val="Heading2"/>
      </w:pPr>
      <w:r>
        <w:t>Term calculation</w:t>
      </w:r>
    </w:p>
    <w:p>
      <w:pPr>
        <w:pStyle w:val="ListBullet"/>
      </w:pPr>
      <w:r>
        <w:t>BR-025 Administrator/Office Staff select one supported calculation method per class.</w:t>
      </w:r>
    </w:p>
    <w:p>
      <w:pPr>
        <w:pStyle w:val="ListBullet"/>
      </w:pPr>
      <w:r>
        <w:t>BR-026 Method 1 = equal average of included assessment percentages.</w:t>
      </w:r>
    </w:p>
    <w:p>
      <w:pPr>
        <w:pStyle w:val="ListBullet"/>
      </w:pPr>
      <w:r>
        <w:t>BR-027 Method 2 = sum obtained marks ÷ sum maximum marks × 100.</w:t>
      </w:r>
    </w:p>
    <w:p>
      <w:pPr>
        <w:pStyle w:val="ListBullet"/>
      </w:pPr>
      <w:r>
        <w:t>BR-028 The Term Exam is the only assessment type currently specified as contributing to the term percentage.</w:t>
      </w:r>
    </w:p>
    <w:p>
      <w:pPr>
        <w:pStyle w:val="ListBullet"/>
      </w:pPr>
      <w:r>
        <w:t>BR-029 Changing the calculation method immediately recalculates existing term results.</w:t>
      </w:r>
    </w:p>
    <w:p>
      <w:pPr>
        <w:pStyle w:val="ListBullet"/>
      </w:pPr>
      <w:r>
        <w:t>BR-030 Term percentages display to two decimal places.</w:t>
      </w:r>
    </w:p>
    <w:p>
      <w:pPr>
        <w:pStyle w:val="ListBullet"/>
      </w:pPr>
      <w:r>
        <w:t>BR-031 Decimal marks are allowed.</w:t>
      </w:r>
    </w:p>
    <w:p>
      <w:pPr>
        <w:pStyle w:val="Heading2"/>
      </w:pPr>
      <w:r>
        <w:t>Dynamic terms</w:t>
      </w:r>
    </w:p>
    <w:p>
      <w:pPr>
        <w:pStyle w:val="ListBullet"/>
      </w:pPr>
      <w:r>
        <w:t>BR-032 Administrator and Office Staff create terms.</w:t>
      </w:r>
    </w:p>
    <w:p>
      <w:pPr>
        <w:pStyle w:val="ListBullet"/>
      </w:pPr>
      <w:r>
        <w:t>BR-033 The number of terms is dynamic.</w:t>
      </w:r>
    </w:p>
    <w:p>
      <w:pPr>
        <w:pStyle w:val="ListBullet"/>
      </w:pPr>
      <w:r>
        <w:t>BR-034 Term names are flexible.</w:t>
      </w:r>
    </w:p>
    <w:p>
      <w:pPr>
        <w:pStyle w:val="ListBullet"/>
      </w:pPr>
      <w:r>
        <w:t>BR-035 Terms remain in ascending sequence order and are not manually reordered.</w:t>
      </w:r>
    </w:p>
    <w:p>
      <w:pPr>
        <w:pStyle w:val="ListBullet"/>
      </w:pPr>
      <w:r>
        <w:t>BR-036 No independent term-closing mechanism is required for the current version; academic-year lifecycle is the primary control, subject to CL-003.</w:t>
      </w:r>
    </w:p>
    <w:p>
      <w:pPr>
        <w:pStyle w:val="Heading2"/>
      </w:pPr>
      <w:r>
        <w:t>Student continuity</w:t>
      </w:r>
    </w:p>
    <w:p>
      <w:pPr>
        <w:pStyle w:val="ListBullet"/>
      </w:pPr>
      <w:r>
        <w:t>BR-037 A section/class transfer preserves the previous placement and creates a new placement from the effective date.</w:t>
      </w:r>
    </w:p>
    <w:p>
      <w:pPr>
        <w:pStyle w:val="ListBullet"/>
      </w:pPr>
      <w:r>
        <w:t>BR-038 Marks remain attached to the historical academic placement.</w:t>
      </w:r>
    </w:p>
    <w:p>
      <w:pPr>
        <w:pStyle w:val="ListBullet"/>
      </w:pPr>
      <w:r>
        <w:t>BR-039 Later reports use the student's applicable placement for that period while historical records remain unchanged.</w:t>
      </w:r>
    </w:p>
    <w:p>
      <w:pPr>
        <w:pStyle w:val="ListBullet"/>
      </w:pPr>
      <w:r>
        <w:t>BR-040 Roll-number changes do not alter historical marks; future reports use the current roll number.</w:t>
      </w:r>
    </w:p>
    <w:p>
      <w:pPr>
        <w:pStyle w:val="ListBullet"/>
      </w:pPr>
      <w:r>
        <w:t>BR-041 Roll numbers are unique within academic year + class + section.</w:t>
      </w:r>
    </w:p>
    <w:p>
      <w:pPr>
        <w:pStyle w:val="ListBullet"/>
      </w:pPr>
      <w:r>
        <w:t>BR-042 Separate statuses are required for internal transfer and leaving/transferring out of school.</w:t>
      </w:r>
    </w:p>
    <w:p>
      <w:pPr>
        <w:pStyle w:val="ListBullet"/>
      </w:pPr>
      <w:r>
        <w:t>BR-043 A student who leaves is removed from future mark-entry lists after the effective date but remains in historical results.</w:t>
      </w:r>
    </w:p>
    <w:p>
      <w:pPr>
        <w:pStyle w:val="ListBullet"/>
      </w:pPr>
      <w:r>
        <w:t>BR-044 Only applicable subjects appear for a student.</w:t>
      </w:r>
    </w:p>
    <w:p>
      <w:pPr>
        <w:pStyle w:val="ListBullet"/>
      </w:pPr>
      <w:r>
        <w:t>BR-045 An elective may change during the academic year only before marks exist for that elective.</w:t>
      </w:r>
    </w:p>
    <w:p>
      <w:pPr>
        <w:pStyle w:val="ListBullet"/>
      </w:pPr>
      <w:r>
        <w:t>BR-046 Historical reports retain the student/class/section/subject information applicable to their academic context.</w:t>
      </w:r>
    </w:p>
    <w:p>
      <w:pPr>
        <w:pStyle w:val="ListBullet"/>
      </w:pPr>
      <w:r>
        <w:t>BR-047 A subject renamed in a later academic year does not rename the subject shown on historical reports.</w:t>
      </w:r>
    </w:p>
    <w:p>
      <w:pPr>
        <w:pStyle w:val="Heading2"/>
      </w:pPr>
      <w:r>
        <w:t>Attendance</w:t>
      </w:r>
    </w:p>
    <w:p>
      <w:pPr>
        <w:pStyle w:val="ListBullet"/>
      </w:pPr>
      <w:r>
        <w:t>BR-048 Attendance is maintained once per student per term.</w:t>
      </w:r>
    </w:p>
    <w:p>
      <w:pPr>
        <w:pStyle w:val="ListBullet"/>
      </w:pPr>
      <w:r>
        <w:t>BR-049 Class Teacher normally enters attendance; Office Staff also have access.</w:t>
      </w:r>
    </w:p>
    <w:p>
      <w:pPr>
        <w:pStyle w:val="ListBullet"/>
      </w:pPr>
      <w:r>
        <w:t>BR-050 Attendance stores days attended and total working days.</w:t>
      </w:r>
    </w:p>
    <w:p>
      <w:pPr>
        <w:pStyle w:val="ListBullet"/>
      </w:pPr>
      <w:r>
        <w:t>BR-051 Attendance percentage = days attended ÷ total working days × 100.</w:t>
      </w:r>
    </w:p>
    <w:p>
      <w:pPr>
        <w:pStyle w:val="ListBullet"/>
      </w:pPr>
      <w:r>
        <w:t>BR-052 Days attended cannot exceed total working days.</w:t>
      </w:r>
    </w:p>
    <w:p>
      <w:pPr>
        <w:pStyle w:val="ListBullet"/>
      </w:pPr>
      <w:r>
        <w:t>BR-053 This is report-card attendance only, not a daily attendance subsystem.</w:t>
      </w:r>
    </w:p>
    <w:p>
      <w:pPr>
        <w:pStyle w:val="Heading2"/>
      </w:pPr>
      <w:r>
        <w:t>Academic-year lifecycle</w:t>
      </w:r>
    </w:p>
    <w:p>
      <w:pPr>
        <w:pStyle w:val="ListBullet"/>
      </w:pPr>
      <w:r>
        <w:t>BR-054 On academic-year closure, Teachers become read-only.</w:t>
      </w:r>
    </w:p>
    <w:p>
      <w:pPr>
        <w:pStyle w:val="ListBullet"/>
      </w:pPr>
      <w:r>
        <w:t>BR-055 Administrator/Office Staff retain some access to a closed year, but the exact mark/configuration correction scope requires clarification (CL-003).</w:t>
      </w:r>
    </w:p>
    <w:p>
      <w:pPr>
        <w:pStyle w:val="ListBullet"/>
      </w:pPr>
      <w:r>
        <w:t>BR-056 A closed academic year may be reopened by Administrator or Office Staff.</w:t>
      </w:r>
    </w:p>
    <w:p>
      <w:pPr>
        <w:pStyle w:val="ListBullet"/>
      </w:pPr>
      <w:r>
        <w:t>BR-057 A new academic year may copy forward school configuration, classes, subjects and teacher assignments, then be modified.</w:t>
      </w:r>
    </w:p>
    <w:p>
      <w:pPr>
        <w:pStyle w:val="Heading2"/>
      </w:pPr>
      <w:r>
        <w:t>Reports and PDFs</w:t>
      </w:r>
    </w:p>
    <w:p>
      <w:pPr>
        <w:pStyle w:val="ListBullet"/>
      </w:pPr>
      <w:r>
        <w:t>BR-058 Only Administrator and Office Staff may download reports in the current version.</w:t>
      </w:r>
    </w:p>
    <w:p>
      <w:pPr>
        <w:pStyle w:val="ListBullet"/>
      </w:pPr>
      <w:r>
        <w:t>BR-059 Previously generated PDFs remain available after later corrections.</w:t>
      </w:r>
    </w:p>
    <w:p>
      <w:pPr>
        <w:pStyle w:val="ListBullet"/>
      </w:pPr>
      <w:r>
        <w:t>BR-060 Retained PDFs are identified by revision, e.g. Revision 1 and Revision 2.</w:t>
      </w:r>
    </w:p>
    <w:p>
      <w:pPr>
        <w:pStyle w:val="ListBullet"/>
      </w:pPr>
      <w:r>
        <w:t>BR-061 New PDFs use current marks and applicable calculation settings.</w:t>
      </w:r>
    </w:p>
    <w:p>
      <w:pPr>
        <w:pStyle w:val="ListBullet"/>
      </w:pPr>
      <w:r>
        <w:t>BR-062 Final reports dynamically adapt to the number of configured terms.</w:t>
      </w:r>
    </w:p>
    <w:p>
      <w:pPr>
        <w:pStyle w:val="ListBullet"/>
      </w:pPr>
      <w:r>
        <w:t>BR-063 Final-report contents may be configured to include term results and, if desired, individual assessment details.</w:t>
      </w:r>
    </w:p>
    <w:p>
      <w:pPr>
        <w:pStyle w:val="ListBullet"/>
      </w:pPr>
      <w:r>
        <w:t>BR-064 No Overall Annual Percentage.</w:t>
      </w:r>
    </w:p>
    <w:p>
      <w:pPr>
        <w:pStyle w:val="ListBullet"/>
      </w:pPr>
      <w:r>
        <w:t>BR-065 No student rank.</w:t>
      </w:r>
    </w:p>
    <w:p>
      <w:pPr>
        <w:pStyle w:val="ListBullet"/>
      </w:pPr>
      <w:r>
        <w:t>BR-066 Pass/Fail is included; the school sets the pass mark.</w:t>
      </w:r>
    </w:p>
    <w:p>
      <w:pPr>
        <w:pStyle w:val="ListBullet"/>
      </w:pPr>
      <w:r>
        <w:t>BR-067 No grade-band system; numeric marks/percentages are used.</w:t>
      </w:r>
    </w:p>
    <w:p>
      <w:pPr>
        <w:pStyle w:val="ListBullet"/>
      </w:pPr>
      <w:r>
        <w:t>BR-068 The common report header uses the school logo configured in application settings.</w:t>
      </w:r>
    </w:p>
    <w:p>
      <w:pPr>
        <w:pStyle w:val="Heading2"/>
      </w:pPr>
      <w:r>
        <w:t>Import, accounts and audit</w:t>
      </w:r>
    </w:p>
    <w:p>
      <w:pPr>
        <w:pStyle w:val="ListBullet"/>
      </w:pPr>
      <w:r>
        <w:t>BR-069 Current-version student re-import never automatically matches existing students; imported rows create new records.</w:t>
      </w:r>
    </w:p>
    <w:p>
      <w:pPr>
        <w:pStyle w:val="ListBullet"/>
      </w:pPr>
      <w:r>
        <w:t>BR-070 Admission/student ID may be introduced as a future stable identifier.</w:t>
      </w:r>
    </w:p>
    <w:p>
      <w:pPr>
        <w:pStyle w:val="ListBullet"/>
      </w:pPr>
      <w:r>
        <w:t>BR-071 Partly invalid uploads may import valid rows and reject invalid rows.</w:t>
      </w:r>
    </w:p>
    <w:p>
      <w:pPr>
        <w:pStyle w:val="ListBullet"/>
      </w:pPr>
      <w:r>
        <w:t>BR-072 Upload results identify accepted/rejected rows and rejection reasons.</w:t>
      </w:r>
    </w:p>
    <w:p>
      <w:pPr>
        <w:pStyle w:val="ListBullet"/>
      </w:pPr>
      <w:r>
        <w:t>BR-073 Deactivated users immediately lose access while historical marks/actions remain.</w:t>
      </w:r>
    </w:p>
    <w:p>
      <w:pPr>
        <w:pStyle w:val="ListBullet"/>
      </w:pPr>
      <w:r>
        <w:t>BR-074 Marks of a deactivated teacher remain editable by another authorised user.</w:t>
      </w:r>
    </w:p>
    <w:p>
      <w:pPr>
        <w:pStyle w:val="ListBullet"/>
      </w:pPr>
      <w:r>
        <w:t>BR-075 User-account management is Administrator-only; password reset is therefore Administrator responsibility unless explicitly changed later.</w:t>
      </w:r>
    </w:p>
    <w:p>
      <w:pPr>
        <w:pStyle w:val="ListBullet"/>
      </w:pPr>
      <w:r>
        <w:t>BR-076 Activity log includes account changes, teacher assignments, student imports/edits, examination setup, school/class settings, calculation changes, mark changes, report/PDF generation, academic-year open/close, student transfers and login/logout.</w:t>
      </w:r>
    </w:p>
    <w:p>
      <w:pPr>
        <w:pStyle w:val="ListBullet"/>
      </w:pPr>
      <w:r>
        <w:t>BR-077 Only Administrator can view the activity log.</w:t>
      </w:r>
    </w:p>
    <w:p>
      <w:pPr>
        <w:pStyle w:val="ListBullet"/>
      </w:pPr>
      <w:r>
        <w:t>BR-078 Activity logs cannot be deleted.</w:t>
      </w:r>
    </w:p>
    <w:p>
      <w:pPr>
        <w:pStyle w:val="ListBullet"/>
      </w:pPr>
      <w:r>
        <w:t>BR-079 The application is single-school for the current version.</w:t>
      </w:r>
    </w:p>
    <w:p>
      <w:pPr>
        <w:pStyle w:val="Heading2"/>
      </w:pPr>
      <w:r>
        <w:t>Completion</w:t>
      </w:r>
    </w:p>
    <w:p>
      <w:pPr>
        <w:pStyle w:val="ListBullet"/>
      </w:pPr>
      <w:r>
        <w:t>BR-080 A student marksheet is complete only when every required applicable subject has a valid result.</w:t>
      </w:r>
    </w:p>
    <w:p>
      <w:pPr>
        <w:pStyle w:val="ListBullet"/>
      </w:pPr>
      <w:r>
        <w:t>BR-081 A is valid for completion.</w:t>
      </w:r>
    </w:p>
    <w:p>
      <w:pPr>
        <w:pStyle w:val="ListBullet"/>
      </w:pPr>
      <w:r>
        <w:t>BR-082 A blank required mark is incomplete.</w:t>
      </w:r>
    </w:p>
    <w:p>
      <w:pPr>
        <w:pStyle w:val="ListBullet"/>
      </w:pPr>
      <w:r>
        <w:t>BR-083 An incomplete student cannot have a completed PDF generated.</w:t>
      </w:r>
    </w:p>
    <w:p>
      <w:pPr>
        <w:pStyle w:val="ListBullet"/>
      </w:pPr>
      <w:r>
        <w:t>BR-084 One student's incomplete marks do not block another student's completed report.</w:t>
      </w:r>
    </w:p>
    <w:p>
      <w:pPr>
        <w:pStyle w:val="Heading1"/>
      </w:pPr>
      <w:r>
        <w:t>2. Confirmed Report Behaviour</w:t>
      </w:r>
    </w:p>
    <w:p>
      <w:r>
        <w:t>Term reports use dynamically generated assessment columns. The school-wide display selection determines which configured assessments are displayed; class-specific display overrides are removed. Calculation participation is separate.</w:t>
      </w:r>
    </w:p>
    <w:p>
      <w:r>
        <w:t>Final reports dynamically adapt to the number of terms and may be configured to include term results and/or individual assessment details. Exact report configuration and visual layout remain a later-phase decision.</w:t>
      </w:r>
    </w:p>
    <w:p>
      <w:pPr>
        <w:pStyle w:val="Heading1"/>
      </w:pPr>
      <w:r>
        <w:t>3. Clarifications Required Before Database Design</w:t>
      </w:r>
    </w:p>
    <w:p>
      <w:r>
        <w:rPr>
          <w:b/>
        </w:rPr>
        <w:t xml:space="preserve">CL-001 – Completion vs non-contributing assessments: </w:t>
      </w:r>
      <w:r>
        <w:t>The answers say only assessments contributing to calculation are required for a term report, while BR-080 says every required applicable subject needs a valid result. Explicitly decide whether displayed-but-non-contributing assessments must be entered for completion.</w:t>
      </w:r>
    </w:p>
    <w:p>
      <w:r>
        <w:rPr>
          <w:b/>
        </w:rPr>
        <w:t xml:space="preserve">CL-002 – Term calculation: </w:t>
      </w:r>
      <w:r>
        <w:t>If only Term Exam contributes, Method 1 and Method 2 produce the same result because there is one included assessment. If other tests should contribute, define exactly which assessment types contribute and how.</w:t>
      </w:r>
    </w:p>
    <w:p>
      <w:r>
        <w:rPr>
          <w:b/>
        </w:rPr>
        <w:t xml:space="preserve">CL-003 – Closed academic year: </w:t>
      </w:r>
      <w:r>
        <w:t>One answer allows Administrator/Office Staff to make corrections after closure; another says reopening permits configuration changes only and no mark changes. Decide whether marks can be changed in a closed year, and whether reopening is required before any mark correction.</w:t>
      </w:r>
    </w:p>
    <w:p>
      <w:r>
        <w:rPr>
          <w:b/>
        </w:rPr>
        <w:t xml:space="preserve">CL-004 – PDF revisions: </w:t>
      </w:r>
      <w:r>
        <w:t>Historical PDFs are both described as retained files and explicitly required to be Revision 1/2. Treat revision identification as authoritative, but define when a new revision is created.</w:t>
      </w:r>
    </w:p>
    <w:p>
      <w:r>
        <w:rPr>
          <w:b/>
        </w:rPr>
        <w:t xml:space="preserve">CL-005 – Pass mark boundary: </w:t>
      </w:r>
      <w:r>
        <w:t>'Above the pass mark' must be formalised as either &gt;= pass mark or &gt; pass mark.</w:t>
      </w:r>
    </w:p>
    <w:p>
      <w:r>
        <w:rPr>
          <w:b/>
        </w:rPr>
        <w:t xml:space="preserve">CL-006 – Final report configuration: </w:t>
      </w:r>
      <w:r>
        <w:t>Define whether final-report assessment details are selected school-wide, per class, per report template, or by another mechanism.</w:t>
      </w:r>
    </w:p>
    <w:p>
      <w:r>
        <w:rPr>
          <w:b/>
        </w:rPr>
        <w:t xml:space="preserve">CL-007 – Assessment applicability vs display: </w:t>
      </w:r>
      <w:r>
        <w:t>Keep separate: an assessment can be applicable to a class/subject while its display on a particular report is a separate configuration decision.</w:t>
      </w:r>
    </w:p>
    <w:p>
      <w:r>
        <w:rPr>
          <w:b/>
        </w:rPr>
        <w:t xml:space="preserve">CL-008 – Copy-forward: </w:t>
      </w:r>
      <w:r>
        <w:t>Define which copied settings are carried forward, which are reset, and whether copied teacher assignments require confirmation.</w:t>
      </w:r>
    </w:p>
    <w:p>
      <w:r>
        <w:rPr>
          <w:b/>
        </w:rPr>
        <w:t xml:space="preserve">CL-009 – Re-import warning: </w:t>
      </w:r>
      <w:r>
        <w:t>Because re-import always creates new records, the UI must clearly warn users that re-import is not an update/matching operation.</w:t>
      </w:r>
    </w:p>
    <w:p>
      <w:r>
        <w:rPr>
          <w:b/>
        </w:rPr>
        <w:t xml:space="preserve">CL-010 – Attendance with zero working days: </w:t>
      </w:r>
      <w:r>
        <w:t>Define the displayed/calculated result when total working days is zero; division by zero must never occur.</w:t>
      </w:r>
    </w:p>
    <w:p>
      <w:r>
        <w:rPr>
          <w:b/>
        </w:rPr>
        <w:t xml:space="preserve">CL-011 – Signatures: </w:t>
      </w:r>
      <w:r>
        <w:t>Teacher/Headmaster signature rules remain deferred to the Report Configuration phase and are not finalised by v1.3.</w:t>
      </w:r>
    </w:p>
    <w:p>
      <w:pPr>
        <w:pStyle w:val="Heading1"/>
      </w:pPr>
      <w:r>
        <w:t>4. Deferred / Out of Scope</w:t>
      </w:r>
    </w:p>
    <w:p>
      <w:pPr>
        <w:pStyle w:val="ListBullet"/>
      </w:pPr>
      <w:r>
        <w:t>Exact PDF visual layout, paper size, margins and handling of many assessment columns.</w:t>
      </w:r>
    </w:p>
    <w:p>
      <w:pPr>
        <w:pStyle w:val="ListBullet"/>
      </w:pPr>
      <w:r>
        <w:t>Teacher/Headmaster signature details.</w:t>
      </w:r>
    </w:p>
    <w:p>
      <w:pPr>
        <w:pStyle w:val="ListBullet"/>
      </w:pPr>
      <w:r>
        <w:t>Whole-class/batch PDF generation.</w:t>
      </w:r>
    </w:p>
    <w:p>
      <w:pPr>
        <w:pStyle w:val="ListBullet"/>
      </w:pPr>
      <w:r>
        <w:t>Daily attendance management.</w:t>
      </w:r>
    </w:p>
    <w:p>
      <w:pPr>
        <w:pStyle w:val="ListBullet"/>
      </w:pPr>
      <w:r>
        <w:t>Teacher bulk mark-file upload.</w:t>
      </w:r>
    </w:p>
    <w:p>
      <w:pPr>
        <w:pStyle w:val="ListBullet"/>
      </w:pPr>
      <w:r>
        <w:t>Approval/review/rejection/publication workflow.</w:t>
      </w:r>
    </w:p>
    <w:p>
      <w:pPr>
        <w:pStyle w:val="ListBullet"/>
      </w:pPr>
      <w:r>
        <w:t>Arbitrary custom assessment weighting.</w:t>
      </w:r>
    </w:p>
    <w:p>
      <w:pPr>
        <w:pStyle w:val="ListBullet"/>
      </w:pPr>
      <w:r>
        <w:t>Overall annual percentage, rank, grade bands and automatic promotion.</w:t>
      </w:r>
    </w:p>
    <w:p>
      <w:pPr>
        <w:pStyle w:val="ListBullet"/>
      </w:pPr>
      <w:r>
        <w:t>Multi-school operation.</w:t>
      </w:r>
    </w:p>
    <w:p>
      <w:pPr>
        <w:pStyle w:val="ListBullet"/>
      </w:pPr>
      <w:r>
        <w:t>Desktop wrapper; the current scope is an online web application.</w:t>
      </w:r>
    </w:p>
    <w:p>
      <w:pPr>
        <w:pStyle w:val="Heading1"/>
      </w:pPr>
      <w:r>
        <w:t>5. Phase 2 Assessment</w:t>
      </w:r>
    </w:p>
    <w:p>
      <w:r>
        <w:t>Phase 2 is substantially complete and has resolved most of the business-rule uncertainty. The project should NOT move directly into database design until CL-001 through CL-005 are resolved, because those decisions directly affect calculation, completion, lifecycle and historical-report behaviour.</w:t>
      </w:r>
    </w:p>
    <w:p>
      <w:r>
        <w:t>Version 1.3 is therefore the appropriate requirements update. It does not silently resolve contradictory answers; the remaining issues are explicitly recorded for confirmation.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