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Loan Approval Prediction — Short Report</w:t>
      </w:r>
    </w:p>
    <w:p>
      <w:r>
        <w:rPr>
          <w:b/>
        </w:rPr>
        <w:t xml:space="preserve">Dataset. </w:t>
      </w:r>
      <w:r>
        <w:t>The uploaded dataset contains 614 records and 13 columns. The target is Loan_Status, with 68.7% approvals and 31.3% non-approvals. Loan_ID was excluded as an identifier.</w:t>
      </w:r>
    </w:p>
    <w:p>
      <w:pPr>
        <w:pStyle w:val="Heading2"/>
      </w:pPr>
      <w:r>
        <w:t>1. Preprocessing and imbalance handling</w:t>
      </w:r>
    </w:p>
    <w:p>
      <w:pPr>
        <w:pStyle w:val="ListBullet"/>
      </w:pPr>
      <w:r>
        <w:t>Numeric missing values are median-imputed and standardized.</w:t>
      </w:r>
    </w:p>
    <w:p>
      <w:pPr>
        <w:pStyle w:val="ListBullet"/>
      </w:pPr>
      <w:r>
        <w:t>Categorical missing values are imputed with the most frequent category and one-hot encoded.</w:t>
      </w:r>
    </w:p>
    <w:p>
      <w:pPr>
        <w:pStyle w:val="ListBullet"/>
      </w:pPr>
      <w:r>
        <w:t>The data is split using stratification so the target distribution is preserved.</w:t>
      </w:r>
    </w:p>
    <w:p>
      <w:pPr>
        <w:pStyle w:val="ListBullet"/>
      </w:pPr>
      <w:r>
        <w:t>Class-weighted models are used to reduce the effect of class imbalance without generating synthetic observations.</w:t>
      </w:r>
    </w:p>
    <w:p>
      <w:pPr>
        <w:pStyle w:val="Heading2"/>
      </w:pPr>
      <w:r>
        <w:t>2. Validation model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Precision</w:t>
            </w:r>
          </w:p>
        </w:tc>
        <w:tc>
          <w:tcPr>
            <w:tcW w:type="dxa" w:w="1728"/>
          </w:tcPr>
          <w:p>
            <w:r>
              <w:t>Recall</w:t>
            </w:r>
          </w:p>
        </w:tc>
        <w:tc>
          <w:tcPr>
            <w:tcW w:type="dxa" w:w="1728"/>
          </w:tcPr>
          <w:p>
            <w:r>
              <w:t>F1</w:t>
            </w:r>
          </w:p>
        </w:tc>
        <w:tc>
          <w:tcPr>
            <w:tcW w:type="dxa" w:w="1728"/>
          </w:tcPr>
          <w:p>
            <w:r>
              <w:t>ROC-AUC</w:t>
            </w:r>
          </w:p>
        </w:tc>
      </w:tr>
      <w:tr>
        <w:tc>
          <w:tcPr>
            <w:tcW w:type="dxa" w:w="1728"/>
          </w:tcPr>
          <w:p>
            <w:r>
              <w:t>Logistic Regression</w:t>
            </w:r>
          </w:p>
        </w:tc>
        <w:tc>
          <w:tcPr>
            <w:tcW w:type="dxa" w:w="1728"/>
          </w:tcPr>
          <w:p>
            <w:r>
              <w:t>0.798</w:t>
            </w:r>
          </w:p>
        </w:tc>
        <w:tc>
          <w:tcPr>
            <w:tcW w:type="dxa" w:w="1728"/>
          </w:tcPr>
          <w:p>
            <w:r>
              <w:t>0.798</w:t>
            </w:r>
          </w:p>
        </w:tc>
        <w:tc>
          <w:tcPr>
            <w:tcW w:type="dxa" w:w="1728"/>
          </w:tcPr>
          <w:p>
            <w:r>
              <w:t>0.798</w:t>
            </w:r>
          </w:p>
        </w:tc>
        <w:tc>
          <w:tcPr>
            <w:tcW w:type="dxa" w:w="1728"/>
          </w:tcPr>
          <w:p>
            <w:r>
              <w:t>0.697</w:t>
            </w:r>
          </w:p>
        </w:tc>
      </w:tr>
      <w:tr>
        <w:tc>
          <w:tcPr>
            <w:tcW w:type="dxa" w:w="1728"/>
          </w:tcPr>
          <w:p>
            <w:r>
              <w:t>Decision Tree</w:t>
            </w:r>
          </w:p>
        </w:tc>
        <w:tc>
          <w:tcPr>
            <w:tcW w:type="dxa" w:w="1728"/>
          </w:tcPr>
          <w:p>
            <w:r>
              <w:t>0.833</w:t>
            </w:r>
          </w:p>
        </w:tc>
        <w:tc>
          <w:tcPr>
            <w:tcW w:type="dxa" w:w="1728"/>
          </w:tcPr>
          <w:p>
            <w:r>
              <w:t>0.774</w:t>
            </w:r>
          </w:p>
        </w:tc>
        <w:tc>
          <w:tcPr>
            <w:tcW w:type="dxa" w:w="1728"/>
          </w:tcPr>
          <w:p>
            <w:r>
              <w:t>0.802</w:t>
            </w:r>
          </w:p>
        </w:tc>
        <w:tc>
          <w:tcPr>
            <w:tcW w:type="dxa" w:w="1728"/>
          </w:tcPr>
          <w:p>
            <w:r>
              <w:t>0.763</w:t>
            </w:r>
          </w:p>
        </w:tc>
      </w:tr>
      <w:tr>
        <w:tc>
          <w:tcPr>
            <w:tcW w:type="dxa" w:w="1728"/>
          </w:tcPr>
          <w:p>
            <w:r>
              <w:t>Random Forest</w:t>
            </w:r>
          </w:p>
        </w:tc>
        <w:tc>
          <w:tcPr>
            <w:tcW w:type="dxa" w:w="1728"/>
          </w:tcPr>
          <w:p>
            <w:r>
              <w:t>0.768</w:t>
            </w:r>
          </w:p>
        </w:tc>
        <w:tc>
          <w:tcPr>
            <w:tcW w:type="dxa" w:w="1728"/>
          </w:tcPr>
          <w:p>
            <w:r>
              <w:t>0.869</w:t>
            </w:r>
          </w:p>
        </w:tc>
        <w:tc>
          <w:tcPr>
            <w:tcW w:type="dxa" w:w="1728"/>
          </w:tcPr>
          <w:p>
            <w:r>
              <w:t>0.816</w:t>
            </w:r>
          </w:p>
        </w:tc>
        <w:tc>
          <w:tcPr>
            <w:tcW w:type="dxa" w:w="1728"/>
          </w:tcPr>
          <w:p>
            <w:r>
              <w:t>0.734</w:t>
            </w:r>
          </w:p>
        </w:tc>
      </w:tr>
    </w:tbl>
    <w:p>
      <w:r>
        <w:t>Using F1 as the validation selection criterion, the selected example model is Random Forest. This is a model-selection rule for the exercise, not a claim that it is universally preferable for lending.</w:t>
      </w:r>
    </w:p>
    <w:p>
      <w:pPr>
        <w:pStyle w:val="Heading2"/>
      </w:pPr>
      <w:r>
        <w:t>3. Threshold analysis</w:t>
      </w:r>
    </w:p>
    <w:p>
      <w:r>
        <w:t>The validation analysis selected an example threshold of 0.35 because it maximized validation F1. A production lending threshold should instead be chosen from an explicit business cost matrix or policy constraint. A lower threshold generally increases recall but can increase false approvals; a higher threshold generally does the reverse.</w:t>
      </w:r>
    </w:p>
    <w:p>
      <w:pPr>
        <w:pStyle w:val="Heading2"/>
      </w:pPr>
      <w:r>
        <w:t>4. Final held-out test result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 / threshold</w:t>
            </w:r>
          </w:p>
        </w:tc>
        <w:tc>
          <w:tcPr>
            <w:tcW w:type="dxa" w:w="1728"/>
          </w:tcPr>
          <w:p>
            <w:r>
              <w:t>Precision</w:t>
            </w:r>
          </w:p>
        </w:tc>
        <w:tc>
          <w:tcPr>
            <w:tcW w:type="dxa" w:w="1728"/>
          </w:tcPr>
          <w:p>
            <w:r>
              <w:t>Recall</w:t>
            </w:r>
          </w:p>
        </w:tc>
        <w:tc>
          <w:tcPr>
            <w:tcW w:type="dxa" w:w="1728"/>
          </w:tcPr>
          <w:p>
            <w:r>
              <w:t>F1</w:t>
            </w:r>
          </w:p>
        </w:tc>
        <w:tc>
          <w:tcPr>
            <w:tcW w:type="dxa" w:w="1728"/>
          </w:tcPr>
          <w:p>
            <w:r>
              <w:t>ROC-AUC</w:t>
            </w:r>
          </w:p>
        </w:tc>
      </w:tr>
      <w:tr>
        <w:tc>
          <w:tcPr>
            <w:tcW w:type="dxa" w:w="1728"/>
          </w:tcPr>
          <w:p>
            <w:r>
              <w:t>Random Forest / 0.35</w:t>
            </w:r>
          </w:p>
        </w:tc>
        <w:tc>
          <w:tcPr>
            <w:tcW w:type="dxa" w:w="1728"/>
          </w:tcPr>
          <w:p>
            <w:r>
              <w:t>0.824</w:t>
            </w:r>
          </w:p>
        </w:tc>
        <w:tc>
          <w:tcPr>
            <w:tcW w:type="dxa" w:w="1728"/>
          </w:tcPr>
          <w:p>
            <w:r>
              <w:t>0.988</w:t>
            </w:r>
          </w:p>
        </w:tc>
        <w:tc>
          <w:tcPr>
            <w:tcW w:type="dxa" w:w="1728"/>
          </w:tcPr>
          <w:p>
            <w:r>
              <w:t>0.898</w:t>
            </w:r>
          </w:p>
        </w:tc>
        <w:tc>
          <w:tcPr>
            <w:tcW w:type="dxa" w:w="1728"/>
          </w:tcPr>
          <w:p>
            <w:r>
              <w:t>0.799</w:t>
            </w:r>
          </w:p>
        </w:tc>
      </w:tr>
    </w:tbl>
    <w:p>
      <w:r>
        <w:t>Confusion matrix [TN, FP; FN, TP]: [[20, 18], [1, 84]].</w:t>
      </w:r>
    </w:p>
    <w:p>
      <w:pPr>
        <w:pStyle w:val="Heading2"/>
      </w:pPr>
      <w:r>
        <w:t>5. Business interpretation</w:t>
      </w:r>
    </w:p>
    <w:p>
      <w:pPr>
        <w:pStyle w:val="ListBullet"/>
      </w:pPr>
      <w:r>
        <w:t>The final threshold produced 84 true positives and 18 false positives on the held-out test set.</w:t>
      </w:r>
    </w:p>
    <w:p>
      <w:pPr>
        <w:pStyle w:val="ListBullet"/>
      </w:pPr>
      <w:r>
        <w:t>It also produced 1 false negatives and 20 true negatives.</w:t>
      </w:r>
    </w:p>
    <w:p>
      <w:pPr>
        <w:pStyle w:val="ListBullet"/>
      </w:pPr>
      <w:r>
        <w:t>False positives can represent applicants classified as approvable when the observed target is negative; in a lending context these may correspond to higher credit-risk exposure depending on how Loan_Status is defined.</w:t>
      </w:r>
    </w:p>
    <w:p>
      <w:pPr>
        <w:pStyle w:val="ListBullet"/>
      </w:pPr>
      <w:r>
        <w:t>False negatives can represent applicants classified as not approvable when the observed target is positive; these may correspond to lost business or customer friction.</w:t>
      </w:r>
    </w:p>
    <w:p>
      <w:pPr>
        <w:pStyle w:val="ListBullet"/>
      </w:pPr>
      <w:r>
        <w:t>Precision is therefore relevant when the cost of unsuitable approvals is high, while recall is relevant when missing eligible approvals is costly.</w:t>
      </w:r>
    </w:p>
    <w:p>
      <w:pPr>
        <w:pStyle w:val="Heading2"/>
      </w:pPr>
      <w:r>
        <w:t>6. Model trade-offs and deployment</w:t>
      </w:r>
    </w:p>
    <w:p>
      <w:r>
        <w:t>Logistic Regression provides a relatively transparent baseline and performed strongly on this dataset. Decision Trees capture nonlinear rules but can overfit. Random Forests can capture richer interactions but are less transparent. For deployment, the threshold should be locked using a documented cost/policy rule, followed by monitoring of approval rate, precision, recall, realized portfolio outcomes, calibration, data drift, and subgroup performance.</w:t>
      </w:r>
    </w:p>
    <w:p>
      <w:pPr>
        <w:pStyle w:val="Heading2"/>
      </w:pPr>
      <w:r>
        <w:t>7. Important limitation</w:t>
      </w:r>
    </w:p>
    <w:p>
      <w:r>
        <w:t>These metrics are based on one train/validation/test split of 614 historical applications. They should not be interpreted as evidence of future performance without temporal validation, calibration checks, and appropriate lending/fairness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