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6"/>
        </w:rPr>
        <w:t>AI HOSPITAL READMISSION RISK</w:t>
      </w:r>
    </w:p>
    <w:p>
      <w:pPr>
        <w:jc w:val="center"/>
      </w:pPr>
      <w:r>
        <w:rPr>
          <w:b/>
          <w:color w:val="2F75B5"/>
          <w:sz w:val="24"/>
        </w:rPr>
        <w:t>ML Project Documentation — Industry, Domain &amp; Data Collection</w:t>
      </w:r>
    </w:p>
    <w:p>
      <w:pPr>
        <w:spacing w:before="100" w:after="40"/>
      </w:pPr>
      <w:r>
        <w:rPr>
          <w:b/>
          <w:sz w:val="23"/>
        </w:rPr>
        <w:t>1. Industry</w:t>
      </w:r>
    </w:p>
    <w:p>
      <w:pPr>
        <w:spacing w:after="70" w:line="245" w:lineRule="auto"/>
      </w:pPr>
      <w:r>
        <w:t>Healthcare is the industry in which hospitals, clinics and other healthcare organizations provide patient care, diagnosis, treatment, monitoring and follow-up services. Healthcare operations generate data from patient admissions, diagnoses, laboratory tests, medications, procedures, hospital stays and discharge activities.</w:t>
      </w:r>
    </w:p>
    <w:p>
      <w:pPr>
        <w:spacing w:before="100" w:after="40"/>
      </w:pPr>
      <w:r>
        <w:rPr>
          <w:b/>
          <w:sz w:val="23"/>
        </w:rPr>
        <w:t>Real-world healthcare environment</w:t>
      </w:r>
    </w:p>
    <w:p>
      <w:pPr>
        <w:pStyle w:val="ListBullet"/>
        <w:spacing w:after="30"/>
      </w:pPr>
      <w:r>
        <w:t>Hospitals and integrated healthcare delivery networks</w:t>
      </w:r>
    </w:p>
    <w:p>
      <w:pPr>
        <w:pStyle w:val="ListBullet"/>
        <w:spacing w:after="30"/>
      </w:pPr>
      <w:r>
        <w:t>Emergency and inpatient services</w:t>
      </w:r>
    </w:p>
    <w:p>
      <w:pPr>
        <w:pStyle w:val="ListBullet"/>
        <w:spacing w:after="30"/>
      </w:pPr>
      <w:r>
        <w:t>Doctors, nurses and care-management teams</w:t>
      </w:r>
    </w:p>
    <w:p>
      <w:pPr>
        <w:pStyle w:val="ListBullet"/>
        <w:spacing w:after="30"/>
      </w:pPr>
      <w:r>
        <w:t>Electronic Health Records (EHR) and Hospital Information Systems (HIS)</w:t>
      </w:r>
    </w:p>
    <w:p>
      <w:pPr>
        <w:pStyle w:val="ListBullet"/>
        <w:spacing w:after="30"/>
      </w:pPr>
      <w:r>
        <w:t>Laboratory, medication and procedure systems</w:t>
      </w:r>
    </w:p>
    <w:p>
      <w:pPr>
        <w:pStyle w:val="ListBullet"/>
        <w:spacing w:after="30"/>
      </w:pPr>
      <w:r>
        <w:t>Discharge planning and post-discharge follow-up</w:t>
      </w:r>
    </w:p>
    <w:p>
      <w:pPr>
        <w:spacing w:before="100" w:after="40"/>
      </w:pPr>
      <w:r>
        <w:rPr>
          <w:b/>
          <w:sz w:val="23"/>
        </w:rPr>
        <w:t>Why this industry?</w:t>
      </w:r>
    </w:p>
    <w:p>
      <w:pPr>
        <w:pStyle w:val="ListBullet"/>
        <w:spacing w:after="30"/>
      </w:pPr>
      <w:r>
        <w:t>Large volumes of patient and hospital-encounter data</w:t>
      </w:r>
    </w:p>
    <w:p>
      <w:pPr>
        <w:pStyle w:val="ListBullet"/>
        <w:spacing w:after="30"/>
      </w:pPr>
      <w:r>
        <w:t>Many clinical and operational variables influence patient outcomes</w:t>
      </w:r>
    </w:p>
    <w:p>
      <w:pPr>
        <w:pStyle w:val="ListBullet"/>
        <w:spacing w:after="30"/>
      </w:pPr>
      <w:r>
        <w:t>Hospitals need to manage limited care-management resources</w:t>
      </w:r>
    </w:p>
    <w:p>
      <w:pPr>
        <w:pStyle w:val="ListBullet"/>
        <w:spacing w:after="30"/>
      </w:pPr>
      <w:r>
        <w:t>Readmissions are an important hospital outcome</w:t>
      </w:r>
    </w:p>
    <w:p>
      <w:pPr>
        <w:pStyle w:val="ListBullet"/>
        <w:spacing w:after="30"/>
      </w:pPr>
      <w:r>
        <w:t>Machine Learning can support risk stratification and operational decision-making</w:t>
      </w:r>
    </w:p>
    <w:p>
      <w:pPr>
        <w:spacing w:after="70" w:line="245" w:lineRule="auto"/>
      </w:pPr>
      <w:r>
        <w:t>Our project uses healthcare data to study hospital readmission risk. The goal is not to diagnose diabetes or replace a doctor. The goal is to estimate which eligible hospital encounters have a higher probability of a readmission within 30 days so that appropriate care-management follow-up can be prioritized.</w:t>
      </w:r>
    </w:p>
    <w:p>
      <w:pPr>
        <w:spacing w:before="100" w:after="40"/>
      </w:pPr>
      <w:r>
        <w:rPr>
          <w:b/>
          <w:sz w:val="23"/>
        </w:rPr>
        <w:t>2. Domain</w:t>
      </w:r>
    </w:p>
    <w:p>
      <w:pPr>
        <w:spacing w:after="70" w:line="245" w:lineRule="auto"/>
        <w:jc w:val="center"/>
      </w:pPr>
      <w:r>
        <w:rPr>
          <w:b/>
          <w:color w:val="2F75B5"/>
          <w:sz w:val="24"/>
        </w:rPr>
        <w:t>Health &amp; Medicine → Hospital Readmission &amp; Care Management</w:t>
      </w:r>
    </w:p>
    <w:p>
      <w:pPr>
        <w:spacing w:after="70" w:line="245" w:lineRule="auto"/>
      </w:pPr>
      <w:r>
        <w:t>Hospital readmission is the return of a patient to the hospital after a previous hospital stay. Our specific project area is 30-day readmission risk. The domain focuses on the information available during a hospital encounter, the patient's previous healthcare utilization, clinical complexity, treatment activity and discharge information.</w:t>
      </w:r>
    </w:p>
    <w:p>
      <w:pPr>
        <w:spacing w:before="100" w:after="40"/>
      </w:pPr>
      <w:r>
        <w:rPr>
          <w:b/>
          <w:sz w:val="23"/>
        </w:rPr>
        <w:t>Simple domain flow</w:t>
      </w:r>
    </w:p>
    <w:p>
      <w:pPr>
        <w:spacing w:after="70" w:line="245" w:lineRule="auto"/>
      </w:pPr>
      <w:r>
        <w:t>Patient Admission → Hospital Treatment → Tests / Procedures / Medicines → Discharge Planning → Discharge → Post-discharge Period → Possible Readmission</w:t>
      </w:r>
    </w:p>
    <w:p>
      <w:pPr>
        <w:spacing w:before="100" w:after="40"/>
      </w:pPr>
      <w:r>
        <w:rPr>
          <w:b/>
          <w:sz w:val="23"/>
        </w:rPr>
        <w:t>Project area</w:t>
      </w:r>
    </w:p>
    <w:p>
      <w:pPr>
        <w:spacing w:after="70" w:line="245" w:lineRule="auto"/>
      </w:pPr>
      <w:r>
        <w:t>AI Hospital Readmission Risk &amp; Care Management Platform. The system will use historical hospital encounter data to learn patterns associated with 30-day readmission and later produce a readmission-risk probability for an eligible encounter.</w:t>
      </w:r>
    </w:p>
    <w:p>
      <w:pPr>
        <w:spacing w:before="100" w:after="40"/>
      </w:pPr>
      <w:r>
        <w:rPr>
          <w:b/>
          <w:sz w:val="23"/>
        </w:rPr>
        <w:t>What we are doing</w:t>
      </w:r>
    </w:p>
    <w:p>
      <w:pPr>
        <w:spacing w:after="70" w:line="245" w:lineRule="auto"/>
      </w:pPr>
      <w:r>
        <w:t>The business problem is converted into a Machine Learning problem: predict whether an eligible hospital encounter will be followed by readmission within 30 days. This is a binary classification task. In the original data, the readmission field has three values: &lt;30, &gt;30 and NO. For the project target, &lt;30 becomes 1 and &gt;30/NO become 0. Terminal discharge outcomes such as death or hospice are excluded from the 30-day modeling population.</w:t>
      </w:r>
    </w:p>
    <w:p>
      <w:pPr>
        <w:spacing w:before="100" w:after="40"/>
      </w:pPr>
      <w:r>
        <w:rPr>
          <w:b/>
          <w:sz w:val="23"/>
        </w:rPr>
        <w:t>Expected business use</w:t>
      </w:r>
    </w:p>
    <w:p>
      <w:pPr>
        <w:spacing w:after="70" w:line="245" w:lineRule="auto"/>
      </w:pPr>
      <w:r>
        <w:t>The model can provide a risk score that helps a care-management team prioritize patients for suitable follow-up activities. The prediction is decision-support information and must not replace clinical judgment.</w:t>
      </w:r>
    </w:p>
    <w:p>
      <w:r>
        <w:br w:type="page"/>
      </w:r>
    </w:p>
    <w:p>
      <w:pPr>
        <w:jc w:val="center"/>
      </w:pPr>
      <w:r>
        <w:rPr>
          <w:b/>
          <w:sz w:val="32"/>
        </w:rPr>
        <w:t>3. DATA COLLECTION</w:t>
      </w:r>
    </w:p>
    <w:p>
      <w:pPr>
        <w:spacing w:after="70" w:line="245" w:lineRule="auto"/>
      </w:pPr>
      <w:r>
        <w:t>The primary dataset for this project is the Diabetes 130-US Hospitals for Years 1999-2008 dataset from the UCI Machine Learning Repository. It is a public research dataset and is used as the main source for model development, data understanding and evaluation.</w:t>
      </w:r>
    </w:p>
    <w:p>
      <w:pPr>
        <w:spacing w:before="100" w:after="40"/>
      </w:pPr>
      <w:r>
        <w:rPr>
          <w:b/>
          <w:sz w:val="23"/>
        </w:rPr>
        <w:t>Dataset source</w:t>
      </w:r>
    </w:p>
    <w:p>
      <w:pPr>
        <w:spacing w:after="70" w:line="245" w:lineRule="auto"/>
      </w:pPr>
      <w:r>
        <w:t>Official source: UCI Machine Learning Repository — Diabetes 130-US Hospitals for Years 1999-2008.</w:t>
      </w:r>
    </w:p>
    <w:p>
      <w:pPr>
        <w:spacing w:after="70" w:line="245" w:lineRule="auto"/>
      </w:pPr>
      <w:r>
        <w:t>Source link: https://archive.ics.uci.edu/dataset/296/diabetes+130-us+hospitals+for+years+1999-2008</w:t>
      </w:r>
    </w:p>
    <w:p>
      <w:pPr>
        <w:spacing w:before="100" w:after="40"/>
      </w:pPr>
      <w:r>
        <w:rPr>
          <w:b/>
          <w:sz w:val="23"/>
        </w:rPr>
        <w:t>Dataset background</w:t>
      </w:r>
    </w:p>
    <w:p>
      <w:pPr>
        <w:spacing w:after="70" w:line="245" w:lineRule="auto"/>
      </w:pPr>
      <w:r>
        <w:t>The UCI documentation describes 101,766 hospital encounters from 130 US hospitals and integrated delivery networks covering ten years of clinical care from 1999 to 2008. The data contains categorical and integer variables, missing values, hospital encounter information, diabetes treatment information and the readmission outcome.</w:t>
      </w:r>
    </w:p>
    <w:p>
      <w:pPr>
        <w:spacing w:before="100" w:after="40"/>
      </w:pPr>
      <w:r>
        <w:rPr>
          <w:b/>
          <w:sz w:val="23"/>
        </w:rPr>
        <w:t>Collected files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7365D"/>
            <w:vAlign w:val="center"/>
          </w:tcPr>
          <w:p>
            <w:r>
              <w:rPr>
                <w:b/>
                <w:color w:val="FFFFFF"/>
              </w:rPr>
              <w:t>Dataset</w:t>
            </w:r>
          </w:p>
        </w:tc>
        <w:tc>
          <w:tcPr>
            <w:tcW w:type="dxa" w:w="3456"/>
            <w:shd w:fill="17365D"/>
            <w:vAlign w:val="center"/>
          </w:tcPr>
          <w:p>
            <w:r>
              <w:rPr>
                <w:b/>
                <w:color w:val="FFFFFF"/>
              </w:rPr>
              <w:t>File</w:t>
            </w:r>
          </w:p>
        </w:tc>
        <w:tc>
          <w:tcPr>
            <w:tcW w:type="dxa" w:w="3456"/>
            <w:shd w:fill="17365D"/>
            <w:vAlign w:val="center"/>
          </w:tcPr>
          <w:p>
            <w:r>
              <w:rPr>
                <w:b/>
                <w:color w:val="FFFFFF"/>
              </w:rPr>
              <w:t>Purpose</w:t>
            </w:r>
          </w:p>
        </w:tc>
      </w:tr>
      <w:tr>
        <w:tc>
          <w:tcPr>
            <w:tcW w:type="dxa" w:w="3456"/>
            <w:shd w:fill="FFFFFF"/>
            <w:vAlign w:val="center"/>
          </w:tcPr>
          <w:p>
            <w:r>
              <w:rPr>
                <w:rFonts w:ascii="Aptos" w:hAnsi="Aptos"/>
                <w:sz w:val="17"/>
              </w:rPr>
              <w:t>Main hospital data</w:t>
            </w:r>
          </w:p>
        </w:tc>
        <w:tc>
          <w:tcPr>
            <w:tcW w:type="dxa" w:w="3456"/>
            <w:shd w:fill="FFFFFF"/>
            <w:vAlign w:val="center"/>
          </w:tcPr>
          <w:p>
            <w:r>
              <w:rPr>
                <w:rFonts w:ascii="Aptos" w:hAnsi="Aptos"/>
                <w:sz w:val="17"/>
              </w:rPr>
              <w:t>diabetic_data.csv</w:t>
            </w:r>
          </w:p>
        </w:tc>
        <w:tc>
          <w:tcPr>
            <w:tcW w:type="dxa" w:w="3456"/>
            <w:shd w:fill="FFFFFF"/>
            <w:vAlign w:val="center"/>
          </w:tcPr>
          <w:p>
            <w:r>
              <w:rPr>
                <w:rFonts w:ascii="Aptos" w:hAnsi="Aptos"/>
                <w:sz w:val="17"/>
              </w:rPr>
              <w:t>Patient hospital-encounter records and readmission outcome.</w:t>
            </w:r>
          </w:p>
        </w:tc>
      </w:tr>
      <w:tr>
        <w:tc>
          <w:tcPr>
            <w:tcW w:type="dxa" w:w="3456"/>
            <w:shd w:fill="F2F2F2"/>
            <w:vAlign w:val="center"/>
          </w:tcPr>
          <w:p>
            <w:r>
              <w:rPr>
                <w:rFonts w:ascii="Aptos" w:hAnsi="Aptos"/>
                <w:sz w:val="17"/>
              </w:rPr>
              <w:t>ID mapping</w:t>
            </w:r>
          </w:p>
        </w:tc>
        <w:tc>
          <w:tcPr>
            <w:tcW w:type="dxa" w:w="3456"/>
            <w:shd w:fill="F2F2F2"/>
            <w:vAlign w:val="center"/>
          </w:tcPr>
          <w:p>
            <w:r>
              <w:rPr>
                <w:rFonts w:ascii="Aptos" w:hAnsi="Aptos"/>
                <w:sz w:val="17"/>
              </w:rPr>
              <w:t>IDS_mapping.csv</w:t>
            </w:r>
          </w:p>
        </w:tc>
        <w:tc>
          <w:tcPr>
            <w:tcW w:type="dxa" w:w="3456"/>
            <w:shd w:fill="F2F2F2"/>
            <w:vAlign w:val="center"/>
          </w:tcPr>
          <w:p>
            <w:r>
              <w:rPr>
                <w:rFonts w:ascii="Aptos" w:hAnsi="Aptos"/>
                <w:sz w:val="17"/>
              </w:rPr>
              <w:t>Descriptions for admission type, discharge disposition and admission source codes.</w:t>
            </w:r>
          </w:p>
        </w:tc>
      </w:tr>
    </w:tbl>
    <w:p>
      <w:pPr>
        <w:spacing w:before="100" w:after="40"/>
      </w:pPr>
      <w:r>
        <w:rPr>
          <w:b/>
          <w:sz w:val="23"/>
        </w:rPr>
        <w:t>Column groups and values in our dataset</w:t>
      </w:r>
    </w:p>
    <w:p>
      <w:pPr>
        <w:spacing w:after="70" w:line="245" w:lineRule="auto"/>
      </w:pPr>
      <w:r>
        <w:t>The main CSV contains 50 columns. The columns can be understood as the following groups; the examples below are actual types/categories represented in the supplied dataset.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0F6B78"/>
            <w:vAlign w:val="center"/>
          </w:tcPr>
          <w:p>
            <w:r>
              <w:rPr>
                <w:b/>
                <w:color w:val="FFFFFF"/>
              </w:rPr>
              <w:t>Group</w:t>
            </w:r>
          </w:p>
        </w:tc>
        <w:tc>
          <w:tcPr>
            <w:tcW w:type="dxa" w:w="3456"/>
            <w:shd w:fill="0F6B78"/>
            <w:vAlign w:val="center"/>
          </w:tcPr>
          <w:p>
            <w:r>
              <w:rPr>
                <w:b/>
                <w:color w:val="FFFFFF"/>
              </w:rPr>
              <w:t>Columns</w:t>
            </w:r>
          </w:p>
        </w:tc>
        <w:tc>
          <w:tcPr>
            <w:tcW w:type="dxa" w:w="3456"/>
            <w:shd w:fill="0F6B78"/>
            <w:vAlign w:val="center"/>
          </w:tcPr>
          <w:p>
            <w:r>
              <w:rPr>
                <w:b/>
                <w:color w:val="FFFFFF"/>
              </w:rPr>
              <w:t>What the values tell us</w:t>
            </w:r>
          </w:p>
        </w:tc>
      </w:tr>
      <w:tr>
        <w:tc>
          <w:tcPr>
            <w:tcW w:type="dxa" w:w="3456"/>
            <w:vAlign w:val="center"/>
            <w:shd w:fill="D9EAF7"/>
          </w:tcPr>
          <w:p>
            <w:r>
              <w:rPr>
                <w:rFonts w:ascii="Aptos" w:hAnsi="Aptos"/>
                <w:b/>
                <w:color w:val="17365D"/>
                <w:sz w:val="17"/>
              </w:rPr>
              <w:t>Identifiers</w:t>
            </w:r>
          </w:p>
        </w:tc>
        <w:tc>
          <w:tcPr>
            <w:tcW w:type="dxa" w:w="3456"/>
            <w:vAlign w:val="center"/>
            <w:shd w:fill="FFFFFF"/>
          </w:tcPr>
          <w:p>
            <w:r>
              <w:rPr>
                <w:rFonts w:ascii="Aptos" w:hAnsi="Aptos"/>
                <w:sz w:val="17"/>
              </w:rPr>
              <w:t>encounter_id, patient_nbr</w:t>
            </w:r>
          </w:p>
        </w:tc>
        <w:tc>
          <w:tcPr>
            <w:tcW w:type="dxa" w:w="3456"/>
            <w:vAlign w:val="center"/>
            <w:shd w:fill="FFFFFF"/>
          </w:tcPr>
          <w:p>
            <w:r>
              <w:rPr>
                <w:rFonts w:ascii="Aptos" w:hAnsi="Aptos"/>
                <w:sz w:val="17"/>
              </w:rPr>
              <w:t>Unique encounter/patient identifiers; used for tracking and patient-aware splitting, not as predictive features.</w:t>
            </w:r>
          </w:p>
        </w:tc>
      </w:tr>
      <w:tr>
        <w:tc>
          <w:tcPr>
            <w:tcW w:type="dxa" w:w="3456"/>
            <w:vAlign w:val="center"/>
            <w:shd w:fill="D9EAF7"/>
          </w:tcPr>
          <w:p>
            <w:r>
              <w:rPr>
                <w:rFonts w:ascii="Aptos" w:hAnsi="Aptos"/>
                <w:b/>
                <w:color w:val="17365D"/>
                <w:sz w:val="17"/>
              </w:rPr>
              <w:t>Demographics</w:t>
            </w:r>
          </w:p>
        </w:tc>
        <w:tc>
          <w:tcPr>
            <w:tcW w:type="dxa" w:w="3456"/>
            <w:vAlign w:val="center"/>
            <w:shd w:fill="F2F2F2"/>
          </w:tcPr>
          <w:p>
            <w:r>
              <w:rPr>
                <w:rFonts w:ascii="Aptos" w:hAnsi="Aptos"/>
                <w:sz w:val="17"/>
              </w:rPr>
              <w:t>race, gender, age, weight</w:t>
            </w:r>
          </w:p>
        </w:tc>
        <w:tc>
          <w:tcPr>
            <w:tcW w:type="dxa" w:w="3456"/>
            <w:vAlign w:val="center"/>
            <w:shd w:fill="F2F2F2"/>
          </w:tcPr>
          <w:p>
            <w:r>
              <w:rPr>
                <w:rFonts w:ascii="Aptos" w:hAnsi="Aptos"/>
                <w:sz w:val="17"/>
              </w:rPr>
              <w:t>Patient characteristics. Examples: Female/Male; age bands such as [70-80); race categories; weight is mostly '?'.</w:t>
            </w:r>
          </w:p>
        </w:tc>
      </w:tr>
      <w:tr>
        <w:tc>
          <w:tcPr>
            <w:tcW w:type="dxa" w:w="3456"/>
            <w:vAlign w:val="center"/>
            <w:shd w:fill="D9EAF7"/>
          </w:tcPr>
          <w:p>
            <w:r>
              <w:rPr>
                <w:rFonts w:ascii="Aptos" w:hAnsi="Aptos"/>
                <w:b/>
                <w:color w:val="17365D"/>
                <w:sz w:val="17"/>
              </w:rPr>
              <w:t>Admission / hospital</w:t>
            </w:r>
          </w:p>
        </w:tc>
        <w:tc>
          <w:tcPr>
            <w:tcW w:type="dxa" w:w="3456"/>
            <w:vAlign w:val="center"/>
            <w:shd w:fill="FFFFFF"/>
          </w:tcPr>
          <w:p>
            <w:r>
              <w:rPr>
                <w:rFonts w:ascii="Aptos" w:hAnsi="Aptos"/>
                <w:sz w:val="17"/>
              </w:rPr>
              <w:t>admission_type_id, discharge_disposition_id, admission_source_id, time_in_hospital</w:t>
            </w:r>
          </w:p>
        </w:tc>
        <w:tc>
          <w:tcPr>
            <w:tcW w:type="dxa" w:w="3456"/>
            <w:vAlign w:val="center"/>
            <w:shd w:fill="FFFFFF"/>
          </w:tcPr>
          <w:p>
            <w:r>
              <w:rPr>
                <w:rFonts w:ascii="Aptos" w:hAnsi="Aptos"/>
                <w:sz w:val="17"/>
              </w:rPr>
              <w:t>How the patient entered, where the patient was discharged/transferred, source of admission, and length of stay. IDs are codes mapped through IDS_mapping.csv.</w:t>
            </w:r>
          </w:p>
        </w:tc>
      </w:tr>
      <w:tr>
        <w:tc>
          <w:tcPr>
            <w:tcW w:type="dxa" w:w="3456"/>
            <w:vAlign w:val="center"/>
            <w:shd w:fill="D9EAF7"/>
          </w:tcPr>
          <w:p>
            <w:r>
              <w:rPr>
                <w:rFonts w:ascii="Aptos" w:hAnsi="Aptos"/>
                <w:b/>
                <w:color w:val="17365D"/>
                <w:sz w:val="17"/>
              </w:rPr>
              <w:t>Utilization / complexity</w:t>
            </w:r>
          </w:p>
        </w:tc>
        <w:tc>
          <w:tcPr>
            <w:tcW w:type="dxa" w:w="3456"/>
            <w:vAlign w:val="center"/>
            <w:shd w:fill="F2F2F2"/>
          </w:tcPr>
          <w:p>
            <w:r>
              <w:rPr>
                <w:rFonts w:ascii="Aptos" w:hAnsi="Aptos"/>
                <w:sz w:val="17"/>
              </w:rPr>
              <w:t>num_lab_procedures, num_procedures, num_medications, number_outpatient, number_emergency, number_inpatient, number_diagnoses</w:t>
            </w:r>
          </w:p>
        </w:tc>
        <w:tc>
          <w:tcPr>
            <w:tcW w:type="dxa" w:w="3456"/>
            <w:vAlign w:val="center"/>
            <w:shd w:fill="F2F2F2"/>
          </w:tcPr>
          <w:p>
            <w:r>
              <w:rPr>
                <w:rFonts w:ascii="Aptos" w:hAnsi="Aptos"/>
                <w:sz w:val="17"/>
              </w:rPr>
              <w:t>Counts of tests, procedures, medicines, previous outpatient/emergency/inpatient visits and diagnoses.</w:t>
            </w:r>
          </w:p>
        </w:tc>
      </w:tr>
      <w:tr>
        <w:tc>
          <w:tcPr>
            <w:tcW w:type="dxa" w:w="3456"/>
            <w:vAlign w:val="center"/>
            <w:shd w:fill="D9EAF7"/>
          </w:tcPr>
          <w:p>
            <w:r>
              <w:rPr>
                <w:rFonts w:ascii="Aptos" w:hAnsi="Aptos"/>
                <w:b/>
                <w:color w:val="17365D"/>
                <w:sz w:val="17"/>
              </w:rPr>
              <w:t>Diagnoses</w:t>
            </w:r>
          </w:p>
        </w:tc>
        <w:tc>
          <w:tcPr>
            <w:tcW w:type="dxa" w:w="3456"/>
            <w:vAlign w:val="center"/>
            <w:shd w:fill="FFFFFF"/>
          </w:tcPr>
          <w:p>
            <w:r>
              <w:rPr>
                <w:rFonts w:ascii="Aptos" w:hAnsi="Aptos"/>
                <w:sz w:val="17"/>
              </w:rPr>
              <w:t>diag_1, diag_2, diag_3</w:t>
            </w:r>
          </w:p>
        </w:tc>
        <w:tc>
          <w:tcPr>
            <w:tcW w:type="dxa" w:w="3456"/>
            <w:vAlign w:val="center"/>
            <w:shd w:fill="FFFFFF"/>
          </w:tcPr>
          <w:p>
            <w:r>
              <w:rPr>
                <w:rFonts w:ascii="Aptos" w:hAnsi="Aptos"/>
                <w:sz w:val="17"/>
              </w:rPr>
              <w:t>Primary and secondary diagnosis codes. They are ICD-9-style codes and need clinical grouping rather than treating them as ordinary numbers.</w:t>
            </w:r>
          </w:p>
        </w:tc>
      </w:tr>
      <w:tr>
        <w:tc>
          <w:tcPr>
            <w:tcW w:type="dxa" w:w="3456"/>
            <w:vAlign w:val="center"/>
            <w:shd w:fill="D9EAF7"/>
          </w:tcPr>
          <w:p>
            <w:r>
              <w:rPr>
                <w:rFonts w:ascii="Aptos" w:hAnsi="Aptos"/>
                <w:b/>
                <w:color w:val="17365D"/>
                <w:sz w:val="17"/>
              </w:rPr>
              <w:t>Lab information</w:t>
            </w:r>
          </w:p>
        </w:tc>
        <w:tc>
          <w:tcPr>
            <w:tcW w:type="dxa" w:w="3456"/>
            <w:vAlign w:val="center"/>
            <w:shd w:fill="F2F2F2"/>
          </w:tcPr>
          <w:p>
            <w:r>
              <w:rPr>
                <w:rFonts w:ascii="Aptos" w:hAnsi="Aptos"/>
                <w:sz w:val="17"/>
              </w:rPr>
              <w:t>max_glu_serum, A1Cresult</w:t>
            </w:r>
          </w:p>
        </w:tc>
        <w:tc>
          <w:tcPr>
            <w:tcW w:type="dxa" w:w="3456"/>
            <w:vAlign w:val="center"/>
            <w:shd w:fill="F2F2F2"/>
          </w:tcPr>
          <w:p>
            <w:r>
              <w:rPr>
                <w:rFonts w:ascii="Aptos" w:hAnsi="Aptos"/>
                <w:sz w:val="17"/>
              </w:rPr>
              <w:t>Recorded glucose and A1C result categories. Missing values commonly mean the test was not taken or not documented.</w:t>
            </w:r>
          </w:p>
        </w:tc>
      </w:tr>
      <w:tr>
        <w:tc>
          <w:tcPr>
            <w:tcW w:type="dxa" w:w="3456"/>
            <w:vAlign w:val="center"/>
            <w:shd w:fill="D9EAF7"/>
          </w:tcPr>
          <w:p>
            <w:r>
              <w:rPr>
                <w:rFonts w:ascii="Aptos" w:hAnsi="Aptos"/>
                <w:b/>
                <w:color w:val="17365D"/>
                <w:sz w:val="17"/>
              </w:rPr>
              <w:t>Diabetes medicines</w:t>
            </w:r>
          </w:p>
        </w:tc>
        <w:tc>
          <w:tcPr>
            <w:tcW w:type="dxa" w:w="3456"/>
            <w:vAlign w:val="center"/>
            <w:shd w:fill="FFFFFF"/>
          </w:tcPr>
          <w:p>
            <w:r>
              <w:rPr>
                <w:rFonts w:ascii="Aptos" w:hAnsi="Aptos"/>
                <w:sz w:val="17"/>
              </w:rPr>
              <w:t>metformin, repaglinide, nateglinide, chlorpropamide, glimepiride, acetohexamide, glipizide, glyburide, tolbutamide, pioglitazone, rosiglitazone, acarbose, miglitol, troglitazone, tolazamide, examide, citoglipton, insulin, glyburide-metformin, glipizide-metformin, glimepiride-pioglitazone, metformin-rosiglitazone, metformin-pioglitazone</w:t>
            </w:r>
          </w:p>
        </w:tc>
        <w:tc>
          <w:tcPr>
            <w:tcW w:type="dxa" w:w="3456"/>
            <w:vAlign w:val="center"/>
            <w:shd w:fill="FFFFFF"/>
          </w:tcPr>
          <w:p>
            <w:r>
              <w:rPr>
                <w:rFonts w:ascii="Aptos" w:hAnsi="Aptos"/>
                <w:sz w:val="17"/>
              </w:rPr>
              <w:t>Medication status is represented with categories such as No, Steady, Up and Down. These describe medication treatment during the encounter.</w:t>
            </w:r>
          </w:p>
        </w:tc>
      </w:tr>
      <w:tr>
        <w:tc>
          <w:tcPr>
            <w:tcW w:type="dxa" w:w="3456"/>
            <w:vAlign w:val="center"/>
            <w:shd w:fill="D9EAF7"/>
          </w:tcPr>
          <w:p>
            <w:r>
              <w:rPr>
                <w:rFonts w:ascii="Aptos" w:hAnsi="Aptos"/>
                <w:b/>
                <w:color w:val="17365D"/>
                <w:sz w:val="17"/>
              </w:rPr>
              <w:t>Treatment</w:t>
            </w:r>
          </w:p>
        </w:tc>
        <w:tc>
          <w:tcPr>
            <w:tcW w:type="dxa" w:w="3456"/>
            <w:vAlign w:val="center"/>
            <w:shd w:fill="F2F2F2"/>
          </w:tcPr>
          <w:p>
            <w:r>
              <w:rPr>
                <w:rFonts w:ascii="Aptos" w:hAnsi="Aptos"/>
                <w:sz w:val="17"/>
              </w:rPr>
              <w:t>change, diabetesMed</w:t>
            </w:r>
          </w:p>
        </w:tc>
        <w:tc>
          <w:tcPr>
            <w:tcW w:type="dxa" w:w="3456"/>
            <w:vAlign w:val="center"/>
            <w:shd w:fill="F2F2F2"/>
          </w:tcPr>
          <w:p>
            <w:r>
              <w:rPr>
                <w:rFonts w:ascii="Aptos" w:hAnsi="Aptos"/>
                <w:sz w:val="17"/>
              </w:rPr>
              <w:t>Whether medication was changed and whether diabetes medication was prescribed/used; categories include No/Ch and No/Yes.</w:t>
            </w:r>
          </w:p>
        </w:tc>
      </w:tr>
      <w:tr>
        <w:tc>
          <w:tcPr>
            <w:tcW w:type="dxa" w:w="3456"/>
            <w:vAlign w:val="center"/>
            <w:shd w:fill="D9EAF7"/>
          </w:tcPr>
          <w:p>
            <w:r>
              <w:rPr>
                <w:rFonts w:ascii="Aptos" w:hAnsi="Aptos"/>
                <w:b/>
                <w:color w:val="17365D"/>
                <w:sz w:val="17"/>
              </w:rPr>
              <w:t>Outcome</w:t>
            </w:r>
          </w:p>
        </w:tc>
        <w:tc>
          <w:tcPr>
            <w:tcW w:type="dxa" w:w="3456"/>
            <w:vAlign w:val="center"/>
            <w:shd w:fill="FFFFFF"/>
          </w:tcPr>
          <w:p>
            <w:r>
              <w:rPr>
                <w:rFonts w:ascii="Aptos" w:hAnsi="Aptos"/>
                <w:sz w:val="17"/>
              </w:rPr>
              <w:t>readmitted</w:t>
            </w:r>
          </w:p>
        </w:tc>
        <w:tc>
          <w:tcPr>
            <w:tcW w:type="dxa" w:w="3456"/>
            <w:vAlign w:val="center"/>
            <w:shd w:fill="FFFFFF"/>
          </w:tcPr>
          <w:p>
            <w:r>
              <w:rPr>
                <w:rFonts w:ascii="Aptos" w:hAnsi="Aptos"/>
                <w:sz w:val="17"/>
              </w:rPr>
              <w:t>Original three-class outcome: &lt;30, &gt;30, NO. Used to create the binary 30-day readmission target.</w:t>
            </w:r>
          </w:p>
        </w:tc>
      </w:tr>
    </w:tbl>
    <w:p>
      <w:pPr>
        <w:spacing w:before="100" w:after="40"/>
      </w:pPr>
      <w:r>
        <w:rPr>
          <w:b/>
          <w:sz w:val="23"/>
        </w:rPr>
        <w:t>Dataset validation observations</w:t>
      </w:r>
    </w:p>
    <w:p>
      <w:pPr>
        <w:pStyle w:val="ListBullet"/>
        <w:spacing w:after="30"/>
      </w:pPr>
      <w:r>
        <w:t>Main dataset: 101,766 rows and 50 columns in the supplied CSV.</w:t>
      </w:r>
    </w:p>
    <w:p>
      <w:pPr>
        <w:pStyle w:val="ListBullet"/>
        <w:spacing w:after="30"/>
      </w:pPr>
      <w:r>
        <w:t>No exact duplicate rows were found.</w:t>
      </w:r>
    </w:p>
    <w:p>
      <w:pPr>
        <w:pStyle w:val="ListBullet"/>
        <w:spacing w:after="30"/>
      </w:pPr>
      <w:r>
        <w:t>encounter_id has no duplicate values.</w:t>
      </w:r>
    </w:p>
    <w:p>
      <w:pPr>
        <w:pStyle w:val="ListBullet"/>
        <w:spacing w:after="30"/>
      </w:pPr>
      <w:r>
        <w:t>71,518 unique patients are represented; some patients have multiple encounters.</w:t>
      </w:r>
    </w:p>
    <w:p>
      <w:pPr>
        <w:pStyle w:val="ListBullet"/>
        <w:spacing w:after="30"/>
      </w:pPr>
      <w:r>
        <w:t>The target readmitted has no missing values.</w:t>
      </w:r>
    </w:p>
    <w:p>
      <w:pPr>
        <w:pStyle w:val="ListBullet"/>
        <w:spacing w:after="30"/>
      </w:pPr>
      <w:r>
        <w:t>Weight is approximately 96.86% missing and will initially be excluded.</w:t>
      </w:r>
    </w:p>
    <w:p>
      <w:pPr>
        <w:pStyle w:val="ListBullet"/>
        <w:spacing w:after="30"/>
      </w:pPr>
      <w:r>
        <w:t>examide and citoglipton contain only 'No' and are constant columns.</w:t>
      </w:r>
    </w:p>
    <w:p>
      <w:pPr>
        <w:pStyle w:val="ListBullet"/>
        <w:spacing w:after="30"/>
      </w:pPr>
      <w:r>
        <w:t>No negative values were found in the main count/stay variables.</w:t>
      </w:r>
    </w:p>
    <w:p>
      <w:pPr>
        <w:pStyle w:val="ListBullet"/>
        <w:spacing w:after="30"/>
      </w:pPr>
      <w:r>
        <w:t>The three ID columns are coded categories and require mapping before modeling.</w:t>
      </w:r>
    </w:p>
    <w:p>
      <w:pPr>
        <w:spacing w:before="100" w:after="40"/>
      </w:pPr>
      <w:r>
        <w:rPr>
          <w:b/>
          <w:sz w:val="23"/>
        </w:rPr>
        <w:t>Data storage and handling</w:t>
      </w:r>
    </w:p>
    <w:p>
      <w:pPr>
        <w:spacing w:after="70" w:line="245" w:lineRule="auto"/>
      </w:pPr>
      <w:r>
        <w:t>Raw data will remain unchanged in data/raw/. Cleaned and feature-engineered copies will be stored under data/processed/. The original UCI files will not be overwritten. This keeps the project reproducible and follows the ML Work Handbook principle of separating source data from processed data.</w:t>
      </w:r>
    </w:p>
    <w:p>
      <w:pPr>
        <w:spacing w:before="100" w:after="40"/>
      </w:pPr>
      <w:r>
        <w:rPr>
          <w:b/>
          <w:sz w:val="23"/>
        </w:rPr>
        <w:t>Data collection → next stage</w:t>
      </w:r>
    </w:p>
    <w:p>
      <w:pPr>
        <w:spacing w:after="70" w:line="245" w:lineRule="auto"/>
      </w:pPr>
      <w:r>
        <w:t>After collecting the UCI data, the next project stage is Data Validation. We will validate columns, data types, missing values, duplicates, target definition, coded values, leakage risk and patient-level train/test separation before model training.</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color w:val="17365D"/>
        <w:sz w:val="16"/>
      </w:rPr>
      <w:t>AI Hospital Readmission Risk &amp; Care Management Platform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