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Software Supply Chain and SBOM Policy for Third Party Vendors</w:t>
      </w:r>
    </w:p>
    <w:p w:rsidR="00000000" w:rsidDel="00000000" w:rsidP="00000000" w:rsidRDefault="00000000" w:rsidRPr="00000000" w14:paraId="00000002">
      <w:pPr>
        <w:rPr>
          <w:i w:val="1"/>
          <w:iCs w:val="1"/>
          <w:sz w:val="24"/>
          <w:szCs w:val="24"/>
        </w:rPr>
      </w:pPr>
      <w:r w:rsidDel="00000000" w:rsidR="00000000" w:rsidRPr="00000000">
        <w:rPr>
          <w:i w:val="1"/>
          <w:iCs w:val="1"/>
          <w:sz w:val="24"/>
          <w:szCs w:val="24"/>
          <w:rtl w:val="0"/>
        </w:rPr>
        <w:t xml:space="preserve">Apex Bank (fictional) </w:t>
      </w:r>
      <w:r w:rsidDel="00000000" w:rsidR="00000000" w:rsidRPr="00000000">
        <w:rPr>
          <w:sz w:val="24"/>
          <w:szCs w:val="24"/>
          <w:rtl w:val="0"/>
        </w:rPr>
        <w:t xml:space="preserve">| </w:t>
      </w:r>
      <w:r w:rsidDel="00000000" w:rsidR="00000000" w:rsidRPr="00000000">
        <w:rPr>
          <w:i w:val="1"/>
          <w:iCs w:val="1"/>
          <w:sz w:val="24"/>
          <w:szCs w:val="24"/>
          <w:rtl w:val="0"/>
        </w:rPr>
        <w:t xml:space="preserve">Version: 1.0 | Author: Srishti | Owner: GRC Team</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Section 1: Purpose and Scope</w:t>
      </w:r>
    </w:p>
    <w:p w:rsidR="00000000" w:rsidDel="00000000" w:rsidP="00000000" w:rsidRDefault="00000000" w:rsidRPr="00000000" w14:paraId="00000005">
      <w:pPr>
        <w:rPr/>
      </w:pPr>
      <w:r w:rsidDel="00000000" w:rsidR="00000000" w:rsidRPr="00000000">
        <w:rPr>
          <w:rtl w:val="0"/>
        </w:rPr>
        <w:t xml:space="preserve">Apex Bank is a mid sized online financial firm updating its mobile banking infrastructure and integrating new features in its application. The bank plans to purchase the core banking software from a third party vendor. Modern software consists of 80% open source components. If a third party vendor embeds an unmanaged, outdated library from an unsupervised or unauthorized github repository, the bank could face high impact risk of regulatory non compliance, severe financial fraud, and data breach liabilities.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Objective: </w:t>
      </w:r>
      <w:r w:rsidDel="00000000" w:rsidR="00000000" w:rsidRPr="00000000">
        <w:rPr>
          <w:rtl w:val="0"/>
        </w:rPr>
        <w:t xml:space="preserve">Establish an end to end Cyber Supply Chain Risk Management</w:t>
      </w:r>
    </w:p>
    <w:p w:rsidR="00000000" w:rsidDel="00000000" w:rsidP="00000000" w:rsidRDefault="00000000" w:rsidRPr="00000000" w14:paraId="00000008">
      <w:pPr>
        <w:rPr/>
      </w:pPr>
      <w:r w:rsidDel="00000000" w:rsidR="00000000" w:rsidRPr="00000000">
        <w:rPr>
          <w:rtl w:val="0"/>
        </w:rPr>
        <w:t xml:space="preserve">(C- SCRM) framework that maintains third party risk and complies with legal regulations.</w:t>
      </w:r>
    </w:p>
    <w:p w:rsidR="00000000" w:rsidDel="00000000" w:rsidP="00000000" w:rsidRDefault="00000000" w:rsidRPr="00000000" w14:paraId="00000009">
      <w:pPr>
        <w:rPr/>
      </w:pPr>
      <w:r w:rsidDel="00000000" w:rsidR="00000000" w:rsidRPr="00000000">
        <w:rPr>
          <w:b w:val="1"/>
          <w:bCs w:val="1"/>
          <w:rtl w:val="0"/>
        </w:rPr>
        <w:t xml:space="preserve">Scope: </w:t>
      </w:r>
      <w:r w:rsidDel="00000000" w:rsidR="00000000" w:rsidRPr="00000000">
        <w:rPr>
          <w:rtl w:val="0"/>
        </w:rPr>
        <w:t xml:space="preserve">All third party and vendor supplied software, including components of the update that will run in Apex Bank.</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Section 2: Supplier Requirements &amp; Vendor Management process</w:t>
      </w:r>
    </w:p>
    <w:p w:rsidR="00000000" w:rsidDel="00000000" w:rsidP="00000000" w:rsidRDefault="00000000" w:rsidRPr="00000000" w14:paraId="0000000C">
      <w:pPr>
        <w:rPr/>
      </w:pPr>
      <w:r w:rsidDel="00000000" w:rsidR="00000000" w:rsidRPr="00000000">
        <w:rPr>
          <w:rtl w:val="0"/>
        </w:rPr>
        <w:t xml:space="preserve">Before signing the contract the supplier must provide below mentioned artifacts after approval by the GRC Team the contract will proceed: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[2.1]</w:t>
      </w:r>
      <w:r w:rsidDel="00000000" w:rsidR="00000000" w:rsidRPr="00000000">
        <w:rPr>
          <w:b w:val="1"/>
          <w:bCs w:val="1"/>
          <w:rtl w:val="0"/>
        </w:rPr>
        <w:t xml:space="preserve"> SBOM:</w:t>
      </w:r>
      <w:r w:rsidDel="00000000" w:rsidR="00000000" w:rsidRPr="00000000">
        <w:rPr>
          <w:rtl w:val="0"/>
        </w:rPr>
        <w:t xml:space="preserve"> The vendor must provide a comprehensive Software Bill Of Materials (SBOM) in a standardized, machine readable format (CycloneDX or SPDX JSON architecture) meeting with NTIA minimum elements(supplier name, component name, version, unique identifier, dependency relationships, author, and timestamp). Manual summaries or PDF text files will not be accepted.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[2.2]</w:t>
      </w:r>
      <w:r w:rsidDel="00000000" w:rsidR="00000000" w:rsidRPr="00000000">
        <w:rPr>
          <w:b w:val="1"/>
          <w:bCs w:val="1"/>
          <w:rtl w:val="0"/>
        </w:rPr>
        <w:t xml:space="preserve"> SCA report:</w:t>
      </w:r>
      <w:r w:rsidDel="00000000" w:rsidR="00000000" w:rsidRPr="00000000">
        <w:rPr>
          <w:rtl w:val="0"/>
        </w:rPr>
        <w:t xml:space="preserve"> The vendor must supply a security scan report dated within the last 30 days, verifying that the provided components have been scanned using recognized Application Security Tools (e.g., Veracode, Snyk, or Checkmarx).</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[2.3] </w:t>
      </w:r>
      <w:r w:rsidDel="00000000" w:rsidR="00000000" w:rsidRPr="00000000">
        <w:rPr>
          <w:b w:val="1"/>
          <w:bCs w:val="1"/>
          <w:rtl w:val="0"/>
        </w:rPr>
        <w:t xml:space="preserve">Contractual commitments: </w:t>
      </w:r>
      <w:r w:rsidDel="00000000" w:rsidR="00000000" w:rsidRPr="00000000">
        <w:rPr>
          <w:rtl w:val="0"/>
        </w:rPr>
        <w:t xml:space="preserve">SBOM refresh with every release, vulnerability notification within 72 hours of discovery, and right to audit.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Section 3: Vendor Risk Tiering</w:t>
      </w:r>
    </w:p>
    <w:p w:rsidR="00000000" w:rsidDel="00000000" w:rsidP="00000000" w:rsidRDefault="00000000" w:rsidRPr="00000000" w14:paraId="00000015">
      <w:pPr>
        <w:rPr>
          <w:b w:val="1"/>
          <w:bCs w:val="1"/>
        </w:rPr>
      </w:pPr>
      <w:r w:rsidDel="00000000" w:rsidR="00000000" w:rsidRPr="00000000">
        <w:rPr>
          <w:rtl w:val="0"/>
        </w:rPr>
      </w:r>
    </w:p>
    <w:sdt>
      <w:sdtPr>
        <w:lock w:val="contentLocked"/>
        <w:id w:val="-1056550823"/>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Due diligence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Tier1 (Critical)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Core banking, Payments, Handles customer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Full SBOM, SCA report, security questionnaire, pen test summary, right to audit, annual reassessment.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Tier2 (High)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 facing components without core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SBOM, SCA report, questionnaire, reassessment every 2 years.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Tier3 (Moderate/Low)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Internal tools, no sensitive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Questionnaire, SCA scan at onboarding</w:t>
                </w:r>
              </w:p>
            </w:tc>
          </w:tr>
        </w:tbl>
      </w:sdtContent>
    </w:sdt>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Section 4: Acceptance Criteria </w:t>
      </w:r>
    </w:p>
    <w:p w:rsidR="00000000" w:rsidDel="00000000" w:rsidP="00000000" w:rsidRDefault="00000000" w:rsidRPr="00000000" w14:paraId="00000024">
      <w:pPr>
        <w:rPr/>
      </w:pPr>
      <w:r w:rsidDel="00000000" w:rsidR="00000000" w:rsidRPr="00000000">
        <w:rPr>
          <w:rtl w:val="0"/>
        </w:rPr>
        <w:t xml:space="preserve">The GRC and Security Engineering teams will evaluate the component using an automated Software Composition Analysis (SCA) pipeline against the following factors: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[4.1]</w:t>
      </w:r>
      <w:r w:rsidDel="00000000" w:rsidR="00000000" w:rsidRPr="00000000">
        <w:rPr>
          <w:b w:val="1"/>
          <w:bCs w:val="1"/>
          <w:rtl w:val="0"/>
        </w:rPr>
        <w:t xml:space="preserve"> Completeness:</w:t>
      </w:r>
      <w:r w:rsidDel="00000000" w:rsidR="00000000" w:rsidRPr="00000000">
        <w:rPr>
          <w:rtl w:val="0"/>
        </w:rPr>
        <w:t xml:space="preserve"> SBOM must contain all direct and transitive (sub-level) dependencies being used in the software.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[4.2] </w:t>
      </w:r>
      <w:r w:rsidDel="00000000" w:rsidR="00000000" w:rsidRPr="00000000">
        <w:rPr>
          <w:b w:val="1"/>
          <w:bCs w:val="1"/>
          <w:rtl w:val="0"/>
        </w:rPr>
        <w:t xml:space="preserve">Vulnerabilities: </w:t>
      </w:r>
      <w:r w:rsidDel="00000000" w:rsidR="00000000" w:rsidRPr="00000000">
        <w:rPr>
          <w:rtl w:val="0"/>
        </w:rPr>
        <w:t xml:space="preserve">The open source components must have </w:t>
      </w:r>
      <w:r w:rsidDel="00000000" w:rsidR="00000000" w:rsidRPr="00000000">
        <w:rPr>
          <w:b w:val="1"/>
          <w:bCs w:val="1"/>
          <w:rtl w:val="0"/>
        </w:rPr>
        <w:t xml:space="preserve">Zero unresolved Critical or High Severity Vulnerabilities </w:t>
      </w:r>
      <w:r w:rsidDel="00000000" w:rsidR="00000000" w:rsidRPr="00000000">
        <w:rPr>
          <w:rtl w:val="0"/>
        </w:rPr>
        <w:t xml:space="preserve">(defined as Common Vulnerability Scoring System - </w:t>
      </w:r>
      <w:r w:rsidDel="00000000" w:rsidR="00000000" w:rsidRPr="00000000">
        <w:rPr>
          <w:b w:val="1"/>
          <w:bCs w:val="1"/>
          <w:rtl w:val="0"/>
        </w:rPr>
        <w:t xml:space="preserve">CVSS score of 7.0 or higher</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listed in the National Vulnerability Database (NVD) at acceptance. Where a fix is not available, the vendor may request a documented exception (approved by the CISO) and the remediations shall be applied within the given timeline:</w:t>
      </w:r>
    </w:p>
    <w:p w:rsidR="00000000" w:rsidDel="00000000" w:rsidP="00000000" w:rsidRDefault="00000000" w:rsidRPr="00000000" w14:paraId="00000029">
      <w:pPr>
        <w:rPr>
          <w:b w:val="1"/>
          <w:bCs w:val="1"/>
        </w:rPr>
      </w:pPr>
      <w:r w:rsidDel="00000000" w:rsidR="00000000" w:rsidRPr="00000000">
        <w:rPr>
          <w:b w:val="1"/>
          <w:bCs w:val="1"/>
          <w:rtl w:val="0"/>
        </w:rPr>
        <w:t xml:space="preserve">Severity                             Remediate within</w:t>
      </w:r>
    </w:p>
    <w:p w:rsidR="00000000" w:rsidDel="00000000" w:rsidP="00000000" w:rsidRDefault="00000000" w:rsidRPr="00000000" w14:paraId="0000002A">
      <w:pPr>
        <w:rPr/>
      </w:pPr>
      <w:r w:rsidDel="00000000" w:rsidR="00000000" w:rsidRPr="00000000">
        <w:rPr>
          <w:rtl w:val="0"/>
        </w:rPr>
        <w:t xml:space="preserve">Critical (9.0-10.0)               15 days</w:t>
      </w:r>
    </w:p>
    <w:p w:rsidR="00000000" w:rsidDel="00000000" w:rsidP="00000000" w:rsidRDefault="00000000" w:rsidRPr="00000000" w14:paraId="0000002B">
      <w:pPr>
        <w:rPr/>
      </w:pPr>
      <w:r w:rsidDel="00000000" w:rsidR="00000000" w:rsidRPr="00000000">
        <w:rPr>
          <w:rtl w:val="0"/>
        </w:rPr>
        <w:t xml:space="preserve">High (7.0 - 8.9)                   30 days</w:t>
      </w:r>
    </w:p>
    <w:p w:rsidR="00000000" w:rsidDel="00000000" w:rsidP="00000000" w:rsidRDefault="00000000" w:rsidRPr="00000000" w14:paraId="0000002C">
      <w:pPr>
        <w:rPr/>
      </w:pPr>
      <w:r w:rsidDel="00000000" w:rsidR="00000000" w:rsidRPr="00000000">
        <w:rPr>
          <w:rtl w:val="0"/>
        </w:rPr>
        <w:t xml:space="preserve">Medium                              90 days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[4.3] </w:t>
      </w:r>
      <w:r w:rsidDel="00000000" w:rsidR="00000000" w:rsidRPr="00000000">
        <w:rPr>
          <w:b w:val="1"/>
          <w:bCs w:val="1"/>
          <w:rtl w:val="0"/>
        </w:rPr>
        <w:t xml:space="preserve">Maintenance:</w:t>
      </w:r>
      <w:r w:rsidDel="00000000" w:rsidR="00000000" w:rsidRPr="00000000">
        <w:rPr>
          <w:rtl w:val="0"/>
        </w:rPr>
        <w:t xml:space="preserve"> All major open source libraries must show active upkeep or updates from the developer community within the past 12 months. Abandoned components require a replacement plan.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[4.4] </w:t>
      </w:r>
      <w:r w:rsidDel="00000000" w:rsidR="00000000" w:rsidRPr="00000000">
        <w:rPr>
          <w:b w:val="1"/>
          <w:bCs w:val="1"/>
          <w:rtl w:val="0"/>
        </w:rPr>
        <w:t xml:space="preserve">Licensing: </w:t>
      </w:r>
      <w:r w:rsidDel="00000000" w:rsidR="00000000" w:rsidRPr="00000000">
        <w:rPr>
          <w:rtl w:val="0"/>
        </w:rPr>
        <w:t xml:space="preserve">All Open source tools must utilize legally safe business licenses:</w:t>
      </w:r>
    </w:p>
    <w:p w:rsidR="00000000" w:rsidDel="00000000" w:rsidP="00000000" w:rsidRDefault="00000000" w:rsidRPr="00000000" w14:paraId="00000031">
      <w:pPr>
        <w:numPr>
          <w:ilvl w:val="0"/>
          <w:numId w:val="2"/>
        </w:numPr>
        <w:ind w:left="720" w:hanging="360"/>
        <w:rPr>
          <w:u w:val="none"/>
        </w:rPr>
      </w:pPr>
      <w:r w:rsidDel="00000000" w:rsidR="00000000" w:rsidRPr="00000000">
        <w:rPr>
          <w:rtl w:val="0"/>
        </w:rPr>
        <w:t xml:space="preserve">Approved: MIT, Apache 2.0, BSD</w:t>
      </w:r>
    </w:p>
    <w:p w:rsidR="00000000" w:rsidDel="00000000" w:rsidP="00000000" w:rsidRDefault="00000000" w:rsidRPr="00000000" w14:paraId="00000032">
      <w:pPr>
        <w:numPr>
          <w:ilvl w:val="0"/>
          <w:numId w:val="2"/>
        </w:numPr>
        <w:ind w:left="720" w:hanging="360"/>
        <w:rPr>
          <w:u w:val="none"/>
        </w:rPr>
      </w:pPr>
      <w:r w:rsidDel="00000000" w:rsidR="00000000" w:rsidRPr="00000000">
        <w:rPr>
          <w:rtl w:val="0"/>
        </w:rPr>
        <w:t xml:space="preserve">Legal review required: LGPL, MPL, EPL</w:t>
      </w:r>
    </w:p>
    <w:p w:rsidR="00000000" w:rsidDel="00000000" w:rsidP="00000000" w:rsidRDefault="00000000" w:rsidRPr="00000000" w14:paraId="00000033">
      <w:pPr>
        <w:numPr>
          <w:ilvl w:val="0"/>
          <w:numId w:val="2"/>
        </w:numPr>
        <w:ind w:left="720" w:hanging="360"/>
        <w:rPr>
          <w:u w:val="none"/>
        </w:rPr>
      </w:pPr>
      <w:r w:rsidDel="00000000" w:rsidR="00000000" w:rsidRPr="00000000">
        <w:rPr>
          <w:rtl w:val="0"/>
        </w:rPr>
        <w:t xml:space="preserve">Prohibited without explicit approval: GPL, AGPL in distributed code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[4.5] </w:t>
      </w:r>
      <w:r w:rsidDel="00000000" w:rsidR="00000000" w:rsidRPr="00000000">
        <w:rPr>
          <w:b w:val="1"/>
          <w:bCs w:val="1"/>
          <w:rtl w:val="0"/>
        </w:rPr>
        <w:t xml:space="preserve">Provenance:</w:t>
      </w:r>
      <w:r w:rsidDel="00000000" w:rsidR="00000000" w:rsidRPr="00000000">
        <w:rPr>
          <w:rtl w:val="0"/>
        </w:rPr>
        <w:t xml:space="preserve"> Open source libraries must be downloaded from bank approved package sources (Green List: internal artifact repository or package firewall of vetted registries). For components outside of the package firewall, the vendor must provide the vulnerability scan report. Liability for resulting loss, other than zero day vulnerabilities, shall be addressed through the contract’s indemnification clause.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sz w:val="26"/>
          <w:szCs w:val="26"/>
        </w:rPr>
      </w:pPr>
      <w:r w:rsidDel="00000000" w:rsidR="00000000" w:rsidRPr="00000000">
        <w:rPr>
          <w:b w:val="1"/>
          <w:bCs w:val="1"/>
          <w:sz w:val="26"/>
          <w:szCs w:val="26"/>
          <w:rtl w:val="0"/>
        </w:rPr>
        <w:t xml:space="preserve">Section 5: Secure Deployment and Sandbox Guardrails</w:t>
      </w:r>
    </w:p>
    <w:p w:rsidR="00000000" w:rsidDel="00000000" w:rsidP="00000000" w:rsidRDefault="00000000" w:rsidRPr="00000000" w14:paraId="00000038">
      <w:pPr>
        <w:rPr/>
      </w:pPr>
      <w:r w:rsidDel="00000000" w:rsidR="00000000" w:rsidRPr="00000000">
        <w:rPr>
          <w:rtl w:val="0"/>
        </w:rPr>
        <w:t xml:space="preserve">To avoid code vulnerabilities from slipping into the live production network, internal developer pipelines must adhere to these structural constraints.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[5.1] </w:t>
      </w:r>
      <w:r w:rsidDel="00000000" w:rsidR="00000000" w:rsidRPr="00000000">
        <w:rPr>
          <w:b w:val="1"/>
          <w:bCs w:val="1"/>
          <w:rtl w:val="0"/>
        </w:rPr>
        <w:t xml:space="preserve">Principle:</w:t>
      </w:r>
      <w:r w:rsidDel="00000000" w:rsidR="00000000" w:rsidRPr="00000000">
        <w:rPr>
          <w:rtl w:val="0"/>
        </w:rPr>
        <w:t xml:space="preserve"> The bank applies the “trust but verify” security principle, vendor claims are only accepted after independent validation.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rtl w:val="0"/>
        </w:rPr>
        <w:t xml:space="preserve">[5.2]</w:t>
      </w:r>
      <w:r w:rsidDel="00000000" w:rsidR="00000000" w:rsidRPr="00000000">
        <w:rPr>
          <w:b w:val="1"/>
          <w:bCs w:val="1"/>
          <w:rtl w:val="0"/>
        </w:rPr>
        <w:t xml:space="preserve">Isolation:</w:t>
      </w:r>
      <w:r w:rsidDel="00000000" w:rsidR="00000000" w:rsidRPr="00000000">
        <w:rPr>
          <w:rtl w:val="0"/>
        </w:rPr>
        <w:t xml:space="preserve"> Newly acquired software or code packages cannot be deployed directly to the public app store or live bank networks. It must first be deployed into an isolated </w:t>
      </w:r>
      <w:r w:rsidDel="00000000" w:rsidR="00000000" w:rsidRPr="00000000">
        <w:rPr>
          <w:b w:val="1"/>
          <w:bCs w:val="1"/>
          <w:rtl w:val="0"/>
        </w:rPr>
        <w:t xml:space="preserve">Sandbox Testing Environment.</w:t>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[5.3] </w:t>
      </w:r>
      <w:r w:rsidDel="00000000" w:rsidR="00000000" w:rsidRPr="00000000">
        <w:rPr>
          <w:b w:val="1"/>
          <w:bCs w:val="1"/>
          <w:rtl w:val="0"/>
        </w:rPr>
        <w:t xml:space="preserve">Testing:</w:t>
      </w:r>
      <w:r w:rsidDel="00000000" w:rsidR="00000000" w:rsidRPr="00000000">
        <w:rPr>
          <w:rtl w:val="0"/>
        </w:rPr>
        <w:t xml:space="preserve"> Security and Quality Assurance (QA) analysts shall run dynamic testing (DAST, behavioural and network traffic analysis) and document the result in a meticulous report.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[5.4] </w:t>
      </w:r>
      <w:r w:rsidDel="00000000" w:rsidR="00000000" w:rsidRPr="00000000">
        <w:rPr>
          <w:b w:val="1"/>
          <w:bCs w:val="1"/>
          <w:rtl w:val="0"/>
        </w:rPr>
        <w:t xml:space="preserve">Approval: </w:t>
      </w:r>
      <w:r w:rsidDel="00000000" w:rsidR="00000000" w:rsidRPr="00000000">
        <w:rPr>
          <w:rtl w:val="0"/>
        </w:rPr>
        <w:t xml:space="preserve">No application shall be migrated from the Sandbox to Production without a formal, documented sign-off from the Lead Security Architect or CISO.</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sz w:val="26"/>
          <w:szCs w:val="26"/>
        </w:rPr>
      </w:pPr>
      <w:r w:rsidDel="00000000" w:rsidR="00000000" w:rsidRPr="00000000">
        <w:rPr>
          <w:b w:val="1"/>
          <w:bCs w:val="1"/>
          <w:rtl w:val="0"/>
        </w:rPr>
        <w:t xml:space="preserve">Section 6: The “SBOM Refusal” Exception and Risk Mitigation</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If a business provider refuses to hand over an SBOM due to intellectual property protection, the GRC team will execute an exception process: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[ 6.1] </w:t>
      </w:r>
      <w:r w:rsidDel="00000000" w:rsidR="00000000" w:rsidRPr="00000000">
        <w:rPr>
          <w:b w:val="1"/>
          <w:bCs w:val="1"/>
          <w:rtl w:val="0"/>
        </w:rPr>
        <w:t xml:space="preserve">Attestation: </w:t>
      </w:r>
      <w:r w:rsidDel="00000000" w:rsidR="00000000" w:rsidRPr="00000000">
        <w:rPr>
          <w:rtl w:val="0"/>
        </w:rPr>
        <w:t xml:space="preserve">The vendor’s CISO must legally sign an executive security attestation verifying that their software is fully validated, contains no known critical and high vulnerabilities as of the deployment date, and accepts financial liability for supply chain flaws.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[6.2] </w:t>
      </w:r>
      <w:r w:rsidDel="00000000" w:rsidR="00000000" w:rsidRPr="00000000">
        <w:rPr>
          <w:b w:val="1"/>
          <w:bCs w:val="1"/>
          <w:rtl w:val="0"/>
        </w:rPr>
        <w:t xml:space="preserve">Escrow or review option: </w:t>
      </w:r>
      <w:r w:rsidDel="00000000" w:rsidR="00000000" w:rsidRPr="00000000">
        <w:rPr>
          <w:rtl w:val="0"/>
        </w:rPr>
        <w:t xml:space="preserve">where possible, the vendor allows a confidential third-party or on-site SBOM review under NDA.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[6.3] </w:t>
      </w:r>
      <w:r w:rsidDel="00000000" w:rsidR="00000000" w:rsidRPr="00000000">
        <w:rPr>
          <w:b w:val="1"/>
          <w:bCs w:val="1"/>
          <w:rtl w:val="0"/>
        </w:rPr>
        <w:t xml:space="preserve">Containment: </w:t>
      </w:r>
      <w:r w:rsidDel="00000000" w:rsidR="00000000" w:rsidRPr="00000000">
        <w:rPr>
          <w:rtl w:val="0"/>
        </w:rPr>
        <w:t xml:space="preserve">The software is restricted to a heavily locked down Network Segment (VLAN) and monitored 24/7 by the bank’s security team.</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[6.4] </w:t>
      </w:r>
      <w:r w:rsidDel="00000000" w:rsidR="00000000" w:rsidRPr="00000000">
        <w:rPr>
          <w:b w:val="1"/>
          <w:bCs w:val="1"/>
          <w:rtl w:val="0"/>
        </w:rPr>
        <w:t xml:space="preserve">Testing: </w:t>
      </w:r>
      <w:r w:rsidDel="00000000" w:rsidR="00000000" w:rsidRPr="00000000">
        <w:rPr>
          <w:rtl w:val="0"/>
        </w:rPr>
        <w:t xml:space="preserve"> All other standard technical validation and sandbox testing controls defined in Section 4 remain mandatory.</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[6.5] </w:t>
      </w:r>
      <w:r w:rsidDel="00000000" w:rsidR="00000000" w:rsidRPr="00000000">
        <w:rPr>
          <w:b w:val="1"/>
          <w:bCs w:val="1"/>
          <w:rtl w:val="0"/>
        </w:rPr>
        <w:t xml:space="preserve">Governance: </w:t>
      </w:r>
      <w:r w:rsidDel="00000000" w:rsidR="00000000" w:rsidRPr="00000000">
        <w:rPr>
          <w:rtl w:val="0"/>
        </w:rPr>
        <w:t xml:space="preserve">The exception is time limited (e.g. 12 months), approved by the CISO, and recorded in the risk register.</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b w:val="1"/>
          <w:bCs w:val="1"/>
          <w:rtl w:val="0"/>
        </w:rPr>
        <w:t xml:space="preserve">Section 7: Ongoing Monitoring and Offboarding </w:t>
      </w:r>
    </w:p>
    <w:p w:rsidR="00000000" w:rsidDel="00000000" w:rsidP="00000000" w:rsidRDefault="00000000" w:rsidRPr="00000000" w14:paraId="00000050">
      <w:pPr>
        <w:numPr>
          <w:ilvl w:val="0"/>
          <w:numId w:val="1"/>
        </w:numPr>
        <w:ind w:left="720" w:hanging="360"/>
        <w:rPr>
          <w:u w:val="none"/>
        </w:rPr>
      </w:pPr>
      <w:r w:rsidDel="00000000" w:rsidR="00000000" w:rsidRPr="00000000">
        <w:rPr>
          <w:rtl w:val="0"/>
        </w:rPr>
        <w:t xml:space="preserve">SBOM refresh and rescan on every release.</w:t>
      </w:r>
    </w:p>
    <w:p w:rsidR="00000000" w:rsidDel="00000000" w:rsidP="00000000" w:rsidRDefault="00000000" w:rsidRPr="00000000" w14:paraId="00000051">
      <w:pPr>
        <w:numPr>
          <w:ilvl w:val="0"/>
          <w:numId w:val="1"/>
        </w:numPr>
        <w:ind w:left="720" w:hanging="360"/>
        <w:rPr>
          <w:u w:val="none"/>
        </w:rPr>
      </w:pPr>
      <w:r w:rsidDel="00000000" w:rsidR="00000000" w:rsidRPr="00000000">
        <w:rPr>
          <w:rtl w:val="0"/>
        </w:rPr>
        <w:t xml:space="preserve">Persistent SCA monitoring against new CVEs; a zero day affecting a listed component triggers an immediate impact assessment using the SBOM. </w:t>
      </w:r>
    </w:p>
    <w:p w:rsidR="00000000" w:rsidDel="00000000" w:rsidP="00000000" w:rsidRDefault="00000000" w:rsidRPr="00000000" w14:paraId="00000052">
      <w:pPr>
        <w:numPr>
          <w:ilvl w:val="0"/>
          <w:numId w:val="1"/>
        </w:numPr>
        <w:ind w:left="720" w:hanging="360"/>
        <w:rPr>
          <w:u w:val="none"/>
        </w:rPr>
      </w:pPr>
      <w:r w:rsidDel="00000000" w:rsidR="00000000" w:rsidRPr="00000000">
        <w:rPr>
          <w:rtl w:val="0"/>
        </w:rPr>
        <w:t xml:space="preserve">On offboarding data return, deletion, access revocation, and a documented exit plan is mandatory.</w:t>
      </w:r>
    </w:p>
    <w:p w:rsidR="00000000" w:rsidDel="00000000" w:rsidP="00000000" w:rsidRDefault="00000000" w:rsidRPr="00000000" w14:paraId="00000053">
      <w:pPr>
        <w:ind w:left="720" w:firstLine="0"/>
        <w:rPr/>
      </w:pPr>
      <w:r w:rsidDel="00000000" w:rsidR="00000000" w:rsidRPr="00000000">
        <w:rPr>
          <w:rtl w:val="0"/>
        </w:rPr>
      </w:r>
    </w:p>
    <w:p w:rsidR="00000000" w:rsidDel="00000000" w:rsidP="00000000" w:rsidRDefault="00000000" w:rsidRPr="00000000" w14:paraId="00000054">
      <w:pPr>
        <w:ind w:left="0" w:firstLine="0"/>
        <w:rPr>
          <w:b w:val="1"/>
          <w:bCs w:val="1"/>
        </w:rPr>
      </w:pPr>
      <w:r w:rsidDel="00000000" w:rsidR="00000000" w:rsidRPr="00000000">
        <w:rPr>
          <w:b w:val="1"/>
          <w:bCs w:val="1"/>
          <w:rtl w:val="0"/>
        </w:rPr>
        <w:t xml:space="preserve">Section 8: Roles and Responsibilities (RACI)</w:t>
      </w:r>
    </w:p>
    <w:p w:rsidR="00000000" w:rsidDel="00000000" w:rsidP="00000000" w:rsidRDefault="00000000" w:rsidRPr="00000000" w14:paraId="00000055">
      <w:pPr>
        <w:ind w:left="0" w:firstLine="0"/>
        <w:rPr/>
      </w:pPr>
      <w:r w:rsidDel="00000000" w:rsidR="00000000" w:rsidRPr="00000000">
        <w:rPr>
          <w:rtl w:val="0"/>
        </w:rPr>
      </w:r>
    </w:p>
    <w:sdt>
      <w:sdtPr>
        <w:lock w:val="contentLocked"/>
        <w:id w:val="259360152"/>
        <w:tag w:val="goog_rdk_1"/>
      </w:sdtPr>
      <w:sdtContent>
        <w:tbl>
          <w:tblPr>
            <w:tblStyle w:val="Table2"/>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885"/>
            <w:gridCol w:w="1650"/>
            <w:gridCol w:w="1710"/>
            <w:gridCol w:w="885"/>
            <w:gridCol w:w="975"/>
            <w:gridCol w:w="1320"/>
            <w:tblGridChange w:id="0">
              <w:tblGrid>
                <w:gridCol w:w="1815"/>
                <w:gridCol w:w="885"/>
                <w:gridCol w:w="1650"/>
                <w:gridCol w:w="1710"/>
                <w:gridCol w:w="885"/>
                <w:gridCol w:w="975"/>
                <w:gridCol w:w="1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GRC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Security Eng.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Procurement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Legal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CISO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Vendor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Vendor tiering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SBOM and scan 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SCA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Contract clauses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Sandbox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Production sign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Exception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w:t>
                </w:r>
              </w:p>
            </w:tc>
          </w:tr>
        </w:tbl>
      </w:sdtContent>
    </w:sdt>
    <w:p w:rsidR="00000000" w:rsidDel="00000000" w:rsidP="00000000" w:rsidRDefault="00000000" w:rsidRPr="00000000" w14:paraId="0000008E">
      <w:pPr>
        <w:ind w:left="0" w:firstLine="0"/>
        <w:rPr/>
      </w:pPr>
      <w:r w:rsidDel="00000000" w:rsidR="00000000" w:rsidRPr="00000000">
        <w:rPr>
          <w:rtl w:val="0"/>
        </w:rPr>
      </w:r>
    </w:p>
    <w:p w:rsidR="00000000" w:rsidDel="00000000" w:rsidP="00000000" w:rsidRDefault="00000000" w:rsidRPr="00000000" w14:paraId="0000008F">
      <w:pPr>
        <w:ind w:left="0" w:firstLine="0"/>
        <w:rPr/>
      </w:pPr>
      <w:r w:rsidDel="00000000" w:rsidR="00000000" w:rsidRPr="00000000">
        <w:rPr>
          <w:rtl w:val="0"/>
        </w:rPr>
        <w:t xml:space="preserve">(R: Responsible, A: Accountable, C: Consulted, I: Informed)</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b w:val="1"/>
          <w:bCs w:val="1"/>
          <w:rtl w:val="0"/>
        </w:rPr>
        <w:t xml:space="preserve">Section 9: Regulatory Mapping</w:t>
      </w:r>
    </w:p>
    <w:p w:rsidR="00000000" w:rsidDel="00000000" w:rsidP="00000000" w:rsidRDefault="00000000" w:rsidRPr="00000000" w14:paraId="00000092">
      <w:pPr>
        <w:rPr>
          <w:sz w:val="26"/>
          <w:szCs w:val="26"/>
        </w:rPr>
      </w:pPr>
      <w:r w:rsidDel="00000000" w:rsidR="00000000" w:rsidRPr="00000000">
        <w:rPr>
          <w:rtl w:val="0"/>
        </w:rPr>
      </w:r>
    </w:p>
    <w:sdt>
      <w:sdtPr>
        <w:lock w:val="contentLocked"/>
        <w:id w:val="-1030563175"/>
        <w:tag w:val="goog_rdk_2"/>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Policy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NIST SP 800-161 Rev.1 / SP 800-53 Rev.5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ISO / IEC 27001: 2022 Annex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SBOM and provenance (2.1,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SR-4 (Provenance), CM-8 (System Component Inventory)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A.5.21 (ICT supply 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NTIA SBOM Minimum Elements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Scan report and vulnerability criteria (2.2,4.2)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RA-5 (Vulnerability Monitoring and Scanning), SI-2 (Flaw Remediation)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A.8.8 (Technical vulnerabilities)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CISA KEV catalog, EPSS (FIRST)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Contract commitments, right to audit, 72 hour notification (2.3)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SR-3 (Supply Chain Controls), SR-8 (Notification Agreements), SR-4 (Acquisition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A.5.20 (Supplier agreements)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RBI Master Direction on Outsourcing of IT Services, 2023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Vendor risk tiering and due diligence (Section 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SR-5 (Acquisition Strategies), SR-6 (Supplier Assessments and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A.5.19 (Supplier relationships), A.5.21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RBI Outsourcing Directions (risk based oversight)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Maintenance and abandoned components (4.3)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SA-22 (Unsupported System Components)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Licensing (4.4)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SR-3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A.5.31 (Legal requirements), A.5.32 (IP rights)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Provenance and Green List (4.5)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SR-4, SR-11 (Component Authenticity)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A.5.21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Sandbox isolation and testing (5.2, 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SA-11 (Developer Testing and Evaluation), SR-10 (Inspection of Systems or Components)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A.8.29 (Security testing), A.8.31 (Separation of environments)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Production sign off (5.4)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CM-3 (Configuration Change Control), CA-6 (Authorization)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A.8.32 (Change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SBOM refusal exception: VLAN and monitoring (6.3)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SC-7 (Boundary Protection), SI-4 (System Monitoring)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A.8.22 (Network segregation), A.8.16 (Monitoring activities)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Exception governance and risk register (6.5)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SR-2 (SCRM Plan), PM-9 (Risk Management Strategy)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A.5.4 (Management responsibilities)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Ongoing monitoring (Section 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SR-6, SI-2, RA-5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A.5.22 (Monitoring and review of supplier services)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Offboarding (Section 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SA-9 (External System Services), MP-6 (Media Sanitization)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A.5.11 (Return of assets)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RBI Outsourcing Directions (exit strategy) </w:t>
                </w:r>
              </w:p>
            </w:tc>
          </w:tr>
        </w:tbl>
      </w:sdtContent>
    </w:sdt>
    <w:p w:rsidR="00000000" w:rsidDel="00000000" w:rsidP="00000000" w:rsidRDefault="00000000" w:rsidRPr="00000000" w14:paraId="000000CB">
      <w:pPr>
        <w:rPr>
          <w:sz w:val="26"/>
          <w:szCs w:val="26"/>
        </w:rPr>
      </w:pPr>
      <w:r w:rsidDel="00000000" w:rsidR="00000000" w:rsidRPr="00000000">
        <w:rPr>
          <w:rtl w:val="0"/>
        </w:rPr>
      </w:r>
    </w:p>
    <w:p w:rsidR="00000000" w:rsidDel="00000000" w:rsidP="00000000" w:rsidRDefault="00000000" w:rsidRPr="00000000" w14:paraId="000000CC">
      <w:pPr>
        <w:rPr>
          <w:b w:val="1"/>
          <w:bCs w:val="1"/>
        </w:rPr>
      </w:pPr>
      <w:r w:rsidDel="00000000" w:rsidR="00000000" w:rsidRPr="00000000">
        <w:rPr>
          <w:b w:val="1"/>
          <w:bCs w:val="1"/>
          <w:rtl w:val="0"/>
        </w:rPr>
        <w:t xml:space="preserve">Section 10: </w:t>
      </w:r>
      <w:r w:rsidDel="00000000" w:rsidR="00000000" w:rsidRPr="00000000">
        <w:rPr>
          <w:b w:val="1"/>
          <w:bCs w:val="1"/>
          <w:rtl w:val="0"/>
        </w:rPr>
        <w:t xml:space="preserve">Limitations</w:t>
      </w:r>
    </w:p>
    <w:p w:rsidR="00000000" w:rsidDel="00000000" w:rsidP="00000000" w:rsidRDefault="00000000" w:rsidRPr="00000000" w14:paraId="000000CD">
      <w:pPr>
        <w:rPr/>
      </w:pPr>
      <w:r w:rsidDel="00000000" w:rsidR="00000000" w:rsidRPr="00000000">
        <w:rPr>
          <w:rtl w:val="0"/>
        </w:rPr>
        <w:t xml:space="preserve">[10.1] An SBOM represents a single snapshot in time. Dynamic software updates fetched over the cloud could theoretically bypass the initial scan.</w:t>
      </w:r>
    </w:p>
    <w:p w:rsidR="00000000" w:rsidDel="00000000" w:rsidP="00000000" w:rsidRDefault="00000000" w:rsidRPr="00000000" w14:paraId="000000CE">
      <w:pPr>
        <w:rPr/>
      </w:pPr>
      <w:r w:rsidDel="00000000" w:rsidR="00000000" w:rsidRPr="00000000">
        <w:rPr>
          <w:rtl w:val="0"/>
        </w:rPr>
        <w:t xml:space="preserve">(Mitigation: Section 7 rescans, additional contract clause requiring vendor to disclose runtime fetched components.)</w:t>
      </w:r>
    </w:p>
    <w:p w:rsidR="00000000" w:rsidDel="00000000" w:rsidP="00000000" w:rsidRDefault="00000000" w:rsidRPr="00000000" w14:paraId="000000CF">
      <w:pPr>
        <w:rPr/>
      </w:pPr>
      <w:r w:rsidDel="00000000" w:rsidR="00000000" w:rsidRPr="00000000">
        <w:rPr>
          <w:rtl w:val="0"/>
        </w:rPr>
        <w:t xml:space="preserve">[10.2] Enforcing multiple scans and dynamic behavior monitoring could slow down the deployment agility. (Mitigation: tiering reduces the burden for low risk vendors)</w:t>
      </w:r>
    </w:p>
    <w:p w:rsidR="00000000" w:rsidDel="00000000" w:rsidP="00000000" w:rsidRDefault="00000000" w:rsidRPr="00000000" w14:paraId="000000D0">
      <w:pPr>
        <w:rPr>
          <w:sz w:val="24"/>
          <w:szCs w:val="24"/>
        </w:rPr>
      </w:pPr>
      <w:r w:rsidDel="00000000" w:rsidR="00000000" w:rsidRPr="00000000">
        <w:rPr>
          <w:rtl w:val="0"/>
        </w:rPr>
        <w:t xml:space="preserve"> [10.3] SCA tools can produce false positives and miss unlisted components. (Mitigation: manual review of high impact findings.)</w:t>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ki5IkRx5Sgjq6oJsgsyvf1tXVg==">CgMxLjAaHwoBMBIaChgICVIUChJ0YWJsZS53NmZ3dWI1MHlkdjQaHwoBMRIaChgICVIUChJ0YWJsZS52OTlrN2lmdnc4dHkaHwoBMhIaChgICVIUChJ0YWJsZS51ZGxhOWw4bTVseHE4AHIhMTZwakxLbG5fS1cwNmVFVHJqZnN4V1o0enhIYkNmWWRl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