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0000"/>
          <w:sz w:val="48"/>
          <w:szCs w:val="48"/>
        </w:rPr>
        <w:t xml:space="preserve">2-Adapter LoRA Merging Report</w:t>
      </w:r>
    </w:p>
    <w:p>
      <w:pPr>
        <w:spacing w:after="240" w:before="0"/>
      </w:pPr>
      <w:r>
        <w:rPr>
          <w:rFonts w:ascii="Arial" w:cs="Arial" w:eastAsia="Arial" w:hAnsi="Arial"/>
          <w:i/>
          <w:iCs/>
          <w:color w:val="555555"/>
          <w:sz w:val="22"/>
          <w:szCs w:val="22"/>
        </w:rPr>
        <w:t xml:space="preserve">Comprehensive analysis of adapter merging strategies across two experimental settings</w:t>
      </w:r>
    </w:p>
    <w:p>
      <w:pPr>
        <w:pBdr>
          <w:bottom w:val="single" w:color="CCCCCC" w:sz="6" w:space="1"/>
        </w:pBdr>
        <w:spacing w:after="160" w:before="160"/>
      </w:pPr>
    </w:p>
    <w:p>
      <w:pPr>
        <w:spacing w:after="160" w:before="360"/>
      </w:pPr>
      <w:r>
        <w:rPr>
          <w:rFonts w:ascii="Arial" w:cs="Arial" w:eastAsia="Arial" w:hAnsi="Arial"/>
          <w:b/>
          <w:bCs/>
          <w:color w:val="000000"/>
          <w:sz w:val="32"/>
          <w:szCs w:val="32"/>
        </w:rPr>
        <w:t xml:space="preserve">Background</w:t>
      </w:r>
    </w:p>
    <w:p>
      <w:pPr>
        <w:spacing w:after="80" w:before="80"/>
      </w:pPr>
      <w:r>
        <w:rPr>
          <w:rFonts w:ascii="Arial" w:cs="Arial" w:eastAsia="Arial" w:hAnsi="Arial"/>
          <w:b w:val="false"/>
          <w:bCs w:val="false"/>
          <w:color w:val="000000"/>
          <w:sz w:val="20"/>
          <w:szCs w:val="20"/>
        </w:rPr>
        <w:t xml:space="preserve">LoRA (Low-Rank Adaptation) adapters allow fine-tuning large language models at a fraction of the cost by training only small rank-decomposed weight matrices. When multiple adapters are trained — either on different subsets of data or entirely different tasks — it becomes valuable to merge them into a single model that retains the knowledge of both without the cost of storing separate adapter files.</w:t>
      </w:r>
    </w:p>
    <w:p>
      <w:pPr>
        <w:spacing w:after="80" w:before="80"/>
      </w:pPr>
      <w:r>
        <w:rPr>
          <w:rFonts w:ascii="Arial" w:cs="Arial" w:eastAsia="Arial" w:hAnsi="Arial"/>
          <w:b w:val="false"/>
          <w:bCs w:val="false"/>
          <w:color w:val="000000"/>
          <w:sz w:val="20"/>
          <w:szCs w:val="20"/>
        </w:rPr>
        <w:t xml:space="preserve">This report evaluates five prominent merging strategies across two experimental settings: (1) merging adapters trained on disjoint subsets of the same dataset, and (2) merging adapters trained on semantically different tasks.</w:t>
      </w:r>
    </w:p>
    <w:p>
      <w:pPr>
        <w:pBdr>
          <w:bottom w:val="single" w:color="CCCCCC" w:sz="6" w:space="1"/>
        </w:pBdr>
        <w:spacing w:after="160" w:before="160"/>
      </w:pPr>
    </w:p>
    <w:p>
      <w:pPr>
        <w:spacing w:after="160" w:before="360"/>
      </w:pPr>
      <w:r>
        <w:rPr>
          <w:rFonts w:ascii="Arial" w:cs="Arial" w:eastAsia="Arial" w:hAnsi="Arial"/>
          <w:b/>
          <w:bCs/>
          <w:color w:val="000000"/>
          <w:sz w:val="32"/>
          <w:szCs w:val="32"/>
        </w:rPr>
        <w:t xml:space="preserve">Experiment 1: Merging Adapters Trained on Disjoint Subsets of the Same Dataset</w:t>
      </w:r>
    </w:p>
    <w:p>
      <w:pPr>
        <w:spacing w:after="120" w:before="240"/>
      </w:pPr>
      <w:r>
        <w:rPr>
          <w:rFonts w:ascii="Arial" w:cs="Arial" w:eastAsia="Arial" w:hAnsi="Arial"/>
          <w:b/>
          <w:bCs/>
          <w:color w:val="000000"/>
          <w:sz w:val="26"/>
          <w:szCs w:val="26"/>
        </w:rPr>
        <w:t xml:space="preserve">Experimental Setup</w:t>
      </w:r>
    </w:p>
    <w:p>
      <w:pPr>
        <w:spacing w:after="80" w:before="80"/>
      </w:pPr>
      <w:r>
        <w:rPr>
          <w:rFonts w:ascii="Arial" w:cs="Arial" w:eastAsia="Arial" w:hAnsi="Arial"/>
          <w:b w:val="false"/>
          <w:bCs w:val="false"/>
          <w:color w:val="000000"/>
          <w:sz w:val="20"/>
          <w:szCs w:val="20"/>
        </w:rPr>
        <w:t xml:space="preserve">The core question here is: can merging two adapters, each trained on half the data, approximate an adapter trained on the full dataset?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Parameter</w:t>
            </w:r>
          </w:p>
        </w:tc>
        <w:tc>
          <w:tcPr>
            <w:tcW w:type="dxa" w:w="624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Dataset</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AG-News (50,000 samples)</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Full Model Training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Trained on all 50k samples</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Adapter 1 Training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Trained on first 25k samples (disjoint subset)</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Adapter 2 Training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Trained on second 25k samples (disjoint subset)</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Base Model</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Gemma-3-270M</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Merging Goal</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Combine two partial adapters to approximate full-data training</w:t>
            </w:r>
          </w:p>
        </w:tc>
      </w:tr>
    </w:tbl>
    <w:p>
      <w:pPr>
        <w:spacing w:after="80" w:before="200"/>
      </w:pPr>
    </w:p>
    <w:p>
      <w:pPr>
        <w:spacing w:after="120" w:before="240"/>
      </w:pPr>
      <w:r>
        <w:rPr>
          <w:rFonts w:ascii="Arial" w:cs="Arial" w:eastAsia="Arial" w:hAnsi="Arial"/>
          <w:b/>
          <w:bCs/>
          <w:color w:val="000000"/>
          <w:sz w:val="26"/>
          <w:szCs w:val="26"/>
        </w:rPr>
        <w:t xml:space="preserve">Merging Methods — Explanation</w:t>
      </w:r>
    </w:p>
    <w:p>
      <w:pPr>
        <w:spacing w:after="80" w:before="80"/>
      </w:pPr>
      <w:r>
        <w:rPr>
          <w:rFonts w:ascii="Arial" w:cs="Arial" w:eastAsia="Arial" w:hAnsi="Arial"/>
          <w:b w:val="false"/>
          <w:bCs w:val="false"/>
          <w:color w:val="000000"/>
          <w:sz w:val="20"/>
          <w:szCs w:val="20"/>
        </w:rPr>
        <w:t xml:space="preserve">Five methods were applied to merge Adapter 1 and Adapter 2. The table below explains how each works and its suitability for this scenario.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c>
          <w:tcPr>
            <w:tcW w:type="dxa" w:w="168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Method</w:t>
            </w:r>
          </w:p>
        </w:tc>
        <w:tc>
          <w:tcPr>
            <w:tcW w:type="dxa" w:w="384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How It Works</w:t>
            </w:r>
          </w:p>
        </w:tc>
        <w:tc>
          <w:tcPr>
            <w:tcW w:type="dxa" w:w="384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Strengths / Weaknesses</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Linear</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Computes a weighted average of adapter weights. Each adapter contributes a fixed coefficient (e.g., 0.5 each).</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Simple and fast. May dilute task-specific signals if adapters diverge significantly.</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SVD</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Applies Singular Value Decomposition to the merged delta matrix and truncates low-rank components to clean up noise.</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Better at preserving dominant directions. Slight improvement over linear by removing noise.</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TIES</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Trims low-magnitude parameters, resolves sign conflicts by majority vote, and then averages only the elected parameters.</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More principled conflict resolution. Effective when adapters have significant overlap but differ in sign.</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DARE</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Randomly drops a fraction of delta parameters (density=0.2 means only 20% survive) then rescales the remainder.</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Designed for large, dense deltas. Performs poorly here because deltas from small (25k) adapters are already sparse.</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SLERP</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Spherical Linear Interpolation. Merges adapters along the geodesic (curved path) on the weight manifold rather than a straight average.</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Best at preserving angular structure of weights. Closest to full-model performance in this experiment.</w:t>
            </w:r>
          </w:p>
        </w:tc>
      </w:tr>
    </w:tbl>
    <w:p>
      <w:pPr>
        <w:spacing w:after="80" w:before="200"/>
      </w:pPr>
    </w:p>
    <w:p>
      <w:pPr>
        <w:spacing w:after="120" w:before="240"/>
      </w:pPr>
      <w:r>
        <w:rPr>
          <w:rFonts w:ascii="Arial" w:cs="Arial" w:eastAsia="Arial" w:hAnsi="Arial"/>
          <w:b/>
          <w:bCs/>
          <w:color w:val="000000"/>
          <w:sz w:val="26"/>
          <w:szCs w:val="26"/>
        </w:rPr>
        <w:t xml:space="preserve">Results</w:t>
      </w:r>
    </w:p>
    <w:p>
      <w:pPr>
        <w:spacing w:after="80" w:before="80"/>
      </w:pPr>
      <w:r>
        <w:rPr>
          <w:rFonts w:ascii="Arial" w:cs="Arial" w:eastAsia="Arial" w:hAnsi="Arial"/>
          <w:b w:val="false"/>
          <w:bCs w:val="false"/>
          <w:color w:val="000000"/>
          <w:sz w:val="20"/>
          <w:szCs w:val="20"/>
        </w:rPr>
        <w:t xml:space="preserve">All merged models were evaluated on the AG-News test split using Accuracy and macro-averaged F1 Score. The full model (trained on all 50k samples) serves as the upper-bound baseline.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680"/>
        <w:gridCol w:w="1680"/>
        <w:gridCol w:w="1740"/>
      </w:tblGrid>
      <w:tr>
        <w:tc>
          <w:tcPr>
            <w:tcW w:type="dxa" w:w="426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Model</w:t>
            </w:r>
          </w:p>
        </w:tc>
        <w:tc>
          <w:tcPr>
            <w:tcW w:type="dxa" w:w="168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Accuracy</w:t>
            </w:r>
          </w:p>
        </w:tc>
        <w:tc>
          <w:tcPr>
            <w:tcW w:type="dxa" w:w="168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F1 Score</w:t>
            </w:r>
          </w:p>
        </w:tc>
        <w:tc>
          <w:tcPr>
            <w:tcW w:type="dxa" w:w="174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Rank vs Full</w:t>
            </w:r>
          </w:p>
        </w:tc>
      </w:tr>
      <w:tr>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gemma-3-270m-slerp-merged</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0.8620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0.8510</w:t>
            </w:r>
          </w:p>
        </w:tc>
        <w:tc>
          <w:tcPr>
            <w:tcW w:type="dxa" w:w="17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1st (Best)</w:t>
            </w:r>
          </w:p>
        </w:tc>
      </w:tr>
      <w:tr>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gemma-3-270m-ties-merged</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0.8480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0.8393</w:t>
            </w:r>
          </w:p>
        </w:tc>
        <w:tc>
          <w:tcPr>
            <w:tcW w:type="dxa" w:w="17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2nd</w:t>
            </w:r>
          </w:p>
        </w:tc>
      </w:tr>
      <w:tr>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gemma-3-270m-svd-merged</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0.8440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0.8357</w:t>
            </w:r>
          </w:p>
        </w:tc>
        <w:tc>
          <w:tcPr>
            <w:tcW w:type="dxa" w:w="17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3rd</w:t>
            </w:r>
          </w:p>
        </w:tc>
      </w:tr>
      <w:tr>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gemma-3-270m-linear-merged</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0.8420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0.8332</w:t>
            </w:r>
          </w:p>
        </w:tc>
        <w:tc>
          <w:tcPr>
            <w:tcW w:type="dxa" w:w="17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4th</w:t>
            </w:r>
          </w:p>
        </w:tc>
      </w:tr>
      <w:tr>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gemma-3-270m-dare-merged</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0.7580</w:t>
            </w:r>
          </w:p>
        </w:tc>
        <w:tc>
          <w:tcPr>
            <w:tcW w:type="dxa" w:w="1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0.7365</w:t>
            </w:r>
          </w:p>
        </w:tc>
        <w:tc>
          <w:tcPr>
            <w:tcW w:type="dxa" w:w="17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5th (Worst)</w:t>
            </w:r>
          </w:p>
        </w:tc>
      </w:tr>
      <w:tr>
        <w:tc>
          <w:tcPr>
            <w:tcW w:type="dxa" w:w="42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full_model (reference)</w:t>
            </w:r>
          </w:p>
        </w:tc>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0.8720</w:t>
            </w:r>
          </w:p>
        </w:tc>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0.8690</w:t>
            </w:r>
          </w:p>
        </w:tc>
        <w:tc>
          <w:tcPr>
            <w:tcW w:type="dxa" w:w="17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Baseline</w:t>
            </w:r>
          </w:p>
        </w:tc>
      </w:tr>
    </w:tbl>
    <w:p>
      <w:pPr>
        <w:spacing w:after="80" w:before="200"/>
      </w:pPr>
    </w:p>
    <w:p>
      <w:pPr>
        <w:spacing w:after="120" w:before="240"/>
      </w:pPr>
      <w:r>
        <w:rPr>
          <w:rFonts w:ascii="Arial" w:cs="Arial" w:eastAsia="Arial" w:hAnsi="Arial"/>
          <w:b/>
          <w:bCs/>
          <w:color w:val="000000"/>
          <w:sz w:val="26"/>
          <w:szCs w:val="26"/>
        </w:rPr>
        <w:t xml:space="preserve">Key Observations</w:t>
      </w:r>
    </w:p>
    <w:p>
      <w:pPr>
        <w:pStyle w:val="ListParagraph"/>
        <w:numPr>
          <w:ilvl w:val="0"/>
          <w:numId w:val="2"/>
        </w:numPr>
        <w:spacing w:after="60" w:before="60"/>
      </w:pPr>
      <w:r>
        <w:rPr>
          <w:rFonts w:ascii="Arial" w:cs="Arial" w:eastAsia="Arial" w:hAnsi="Arial"/>
          <w:color w:val="000000"/>
          <w:sz w:val="20"/>
          <w:szCs w:val="20"/>
        </w:rPr>
        <w:t xml:space="preserve">SLERP achieves the closest approximation to the full model, trailing by only ~1 percentage point in accuracy (0.862 vs 0.872). Its geodesic interpolation preserves the angular structure of weight matrices better than flat averaging.</w:t>
      </w:r>
    </w:p>
    <w:p>
      <w:pPr>
        <w:pStyle w:val="ListParagraph"/>
        <w:numPr>
          <w:ilvl w:val="0"/>
          <w:numId w:val="2"/>
        </w:numPr>
        <w:spacing w:after="60" w:before="60"/>
      </w:pPr>
      <w:r>
        <w:rPr>
          <w:rFonts w:ascii="Arial" w:cs="Arial" w:eastAsia="Arial" w:hAnsi="Arial"/>
          <w:color w:val="000000"/>
          <w:sz w:val="20"/>
          <w:szCs w:val="20"/>
        </w:rPr>
        <w:t xml:space="preserve">TIES ranks second. Its sign-conflict resolution step removes interference between the two adapters, making it more principled than plain linear merging.</w:t>
      </w:r>
    </w:p>
    <w:p>
      <w:pPr>
        <w:pStyle w:val="ListParagraph"/>
        <w:numPr>
          <w:ilvl w:val="0"/>
          <w:numId w:val="2"/>
        </w:numPr>
        <w:spacing w:after="60" w:before="60"/>
      </w:pPr>
      <w:r>
        <w:rPr>
          <w:rFonts w:ascii="Arial" w:cs="Arial" w:eastAsia="Arial" w:hAnsi="Arial"/>
          <w:color w:val="000000"/>
          <w:sz w:val="20"/>
          <w:szCs w:val="20"/>
        </w:rPr>
        <w:t xml:space="preserve">SVD and Linear are competitive, with SVD slightly ahead due to its low-rank truncation cleaning up redundant components from the averaged delta matrix.</w:t>
      </w:r>
    </w:p>
    <w:p>
      <w:pPr>
        <w:pStyle w:val="ListParagraph"/>
        <w:numPr>
          <w:ilvl w:val="0"/>
          <w:numId w:val="2"/>
        </w:numPr>
        <w:spacing w:after="60" w:before="60"/>
      </w:pPr>
      <w:r>
        <w:rPr>
          <w:rFonts w:ascii="Arial" w:cs="Arial" w:eastAsia="Arial" w:hAnsi="Arial"/>
          <w:color w:val="000000"/>
          <w:sz w:val="20"/>
          <w:szCs w:val="20"/>
        </w:rPr>
        <w:t xml:space="preserve">DARE performs significantly worse (0.758 accuracy). DARE is designed for scenarios where adapter deltas are large and dense. With only 25k training samples per adapter, the weight deltas are already sparse — additional random dropout discards critical signal rather than noise.</w:t>
      </w:r>
    </w:p>
    <w:p>
      <w:pPr>
        <w:pStyle w:val="ListParagraph"/>
        <w:numPr>
          <w:ilvl w:val="0"/>
          <w:numId w:val="2"/>
        </w:numPr>
        <w:spacing w:after="60" w:before="60"/>
      </w:pPr>
      <w:r>
        <w:rPr>
          <w:rFonts w:ascii="Arial" w:cs="Arial" w:eastAsia="Arial" w:hAnsi="Arial"/>
          <w:color w:val="000000"/>
          <w:sz w:val="20"/>
          <w:szCs w:val="20"/>
        </w:rPr>
        <w:t xml:space="preserve">Attention q_proj and k_proj layers consistently show low cosine similarity between the merged model and the full model, suggesting that query and key projections are the hardest parameters to align across adapters. v_proj and MLP layers merge more faithfully.</w:t>
      </w:r>
    </w:p>
    <w:p>
      <w:pPr>
        <w:spacing w:after="120" w:before="120"/>
      </w:pPr>
    </w:p>
    <w:p>
      <w:pPr>
        <w:spacing w:after="120" w:before="240"/>
      </w:pPr>
      <w:r>
        <w:rPr>
          <w:rFonts w:ascii="Arial" w:cs="Arial" w:eastAsia="Arial" w:hAnsi="Arial"/>
          <w:b/>
          <w:bCs/>
          <w:color w:val="000000"/>
          <w:sz w:val="26"/>
          <w:szCs w:val="26"/>
        </w:rPr>
        <w:t xml:space="preserve">Layer-wise Cosine Similarity: Linear Merged vs Full Model</w:t>
      </w:r>
    </w:p>
    <w:p>
      <w:pPr>
        <w:spacing w:after="80" w:before="80"/>
      </w:pPr>
      <w:r>
        <w:rPr>
          <w:rFonts w:ascii="Arial" w:cs="Arial" w:eastAsia="Arial" w:hAnsi="Arial"/>
          <w:b w:val="false"/>
          <w:bCs w:val="false"/>
          <w:color w:val="000000"/>
          <w:sz w:val="20"/>
          <w:szCs w:val="20"/>
        </w:rPr>
        <w:t xml:space="preserve">The table below shows, for each transformer layer examined, how similar the merged (linear) adapter weights are to the full-model weights. Values closer to 1.0 indicate near-identical weight directions.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300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Cosine Similarity (Linear vs Full)</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layers.15.mlp.down_proj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0.7831</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layers.15.mlp.gate_proj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0.7479</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layers.15.mlp.up_proj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0.7366</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layers.15.self_attn.k_proj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0.5391</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layers.15.self_attn.o_proj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0.7389</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layers.15.self_attn.q_proj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0.5705</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layers.15.self_attn.v_proj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0.6819</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layers.16.mlp.down_proj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0.7308</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layers.16.mlp.gate_proj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0.7884</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layers.16.mlp.up_proj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0.8139</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layers.16.self_attn.k_proj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0.6591</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layers.16.self_attn.o_proj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0.7668</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layers.16.self_attn.q_proj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0.5673</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layers.16.self_attn.v_proj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0.8614</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layers.17.mlp.down_proj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0.8190</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layers.17.mlp.gate_proj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0.8047</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layers.17.mlp.up_proj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0.8318</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layers.17.self_attn.k_proj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0.5795</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layers.17.self_attn.o_proj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0.7947</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layers.17.self_attn.q_proj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0.5142</w:t>
            </w:r>
          </w:p>
        </w:tc>
      </w:tr>
      <w:tr>
        <w:tc>
          <w:tcPr>
            <w:tcW w:type="dxa" w:w="6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layers.17.self_attn.v_proj</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0.8190</w:t>
            </w:r>
          </w:p>
        </w:tc>
      </w:tr>
    </w:tbl>
    <w:p>
      <w:pPr>
        <w:spacing w:after="80" w:before="160"/>
      </w:pPr>
    </w:p>
    <w:p>
      <w:pPr>
        <w:spacing w:after="80" w:before="80"/>
      </w:pPr>
      <w:r>
        <w:rPr>
          <w:rFonts w:ascii="Arial" w:cs="Arial" w:eastAsia="Arial" w:hAnsi="Arial"/>
          <w:b w:val="false"/>
          <w:bCs w:val="false"/>
          <w:color w:val="000000"/>
          <w:sz w:val="20"/>
          <w:szCs w:val="20"/>
        </w:rPr>
        <w:t xml:space="preserve">Interpretation: MLP layers (up_proj, down_proj, gate_proj) consistently score above 0.73, while attention q_proj and k_proj hover between 0.51 and 0.66. This indicates that the query and key subspaces diverge significantly between adapters, likely because each adapter has learned task-specific attention patterns from its 25k subset.</w:t>
      </w:r>
    </w:p>
    <w:p>
      <w:pPr>
        <w:pBdr>
          <w:bottom w:val="single" w:color="CCCCCC" w:sz="6" w:space="1"/>
        </w:pBdr>
        <w:spacing w:after="160" w:before="160"/>
      </w:pPr>
    </w:p>
    <w:p>
      <w:pPr>
        <w:spacing w:after="160" w:before="360"/>
      </w:pPr>
      <w:r>
        <w:rPr>
          <w:rFonts w:ascii="Arial" w:cs="Arial" w:eastAsia="Arial" w:hAnsi="Arial"/>
          <w:b/>
          <w:bCs/>
          <w:color w:val="000000"/>
          <w:sz w:val="32"/>
          <w:szCs w:val="32"/>
        </w:rPr>
        <w:t xml:space="preserve">Experiment 2: Merging Adapters Trained on Different Tasks</w:t>
      </w:r>
    </w:p>
    <w:p>
      <w:pPr>
        <w:spacing w:after="120" w:before="240"/>
      </w:pPr>
      <w:r>
        <w:rPr>
          <w:rFonts w:ascii="Arial" w:cs="Arial" w:eastAsia="Arial" w:hAnsi="Arial"/>
          <w:b/>
          <w:bCs/>
          <w:color w:val="000000"/>
          <w:sz w:val="26"/>
          <w:szCs w:val="26"/>
        </w:rPr>
        <w:t xml:space="preserve">Experimental Setup</w:t>
      </w:r>
    </w:p>
    <w:p>
      <w:pPr>
        <w:spacing w:after="80" w:before="80"/>
      </w:pPr>
      <w:r>
        <w:rPr>
          <w:rFonts w:ascii="Arial" w:cs="Arial" w:eastAsia="Arial" w:hAnsi="Arial"/>
          <w:b w:val="false"/>
          <w:bCs w:val="false"/>
          <w:color w:val="000000"/>
          <w:sz w:val="20"/>
          <w:szCs w:val="20"/>
        </w:rPr>
        <w:t xml:space="preserve">This experiment is more challenging: the two adapters are trained on semantically different tasks. The goal is to produce a single model that retains mathematical reasoning ability (from OpenMathReasoning) while also incorporating general instruction-following ability (from Finetome).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Parameter</w:t>
            </w:r>
          </w:p>
        </w:tc>
        <w:tc>
          <w:tcPr>
            <w:tcW w:type="dxa" w:w="624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Base Model</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Qwen3-0.6B</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Task 1 (Reasoning)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Adapter trained on OpenMathReasoning dataset (mathematical chain-of-thought reasoning)</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Task 2 (Non-Reasoning)</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Adapter trained on Finetome dataset (general instruction following)</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Evaluation Task</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Mathematical reasoning benchmark (Exact Match, ROUGE-1, ROUGE-2, ROUGE-L)</w:t>
            </w:r>
          </w:p>
        </w:tc>
      </w:tr>
      <w:t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Merging Goal</w:t>
            </w:r>
          </w:p>
        </w:tc>
        <w:tc>
          <w:tcPr>
            <w:tcW w:type="dxa" w:w="6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 a single model capable of both reasoning and instruction following</w:t>
            </w:r>
          </w:p>
        </w:tc>
      </w:tr>
    </w:tbl>
    <w:p>
      <w:pPr>
        <w:spacing w:after="80" w:before="200"/>
      </w:pPr>
    </w:p>
    <w:p>
      <w:pPr>
        <w:spacing w:after="120" w:before="240"/>
      </w:pPr>
      <w:r>
        <w:rPr>
          <w:rFonts w:ascii="Arial" w:cs="Arial" w:eastAsia="Arial" w:hAnsi="Arial"/>
          <w:b/>
          <w:bCs/>
          <w:color w:val="000000"/>
          <w:sz w:val="26"/>
          <w:szCs w:val="26"/>
        </w:rPr>
        <w:t xml:space="preserve">Evaluation Metrics</w:t>
      </w:r>
    </w:p>
    <w:p>
      <w:pPr>
        <w:spacing w:after="80" w:before="80"/>
      </w:pPr>
      <w:r>
        <w:rPr>
          <w:rFonts w:ascii="Arial" w:cs="Arial" w:eastAsia="Arial" w:hAnsi="Arial"/>
          <w:b w:val="false"/>
          <w:bCs w:val="false"/>
          <w:color w:val="000000"/>
          <w:sz w:val="20"/>
          <w:szCs w:val="20"/>
        </w:rPr>
        <w:t xml:space="preserve">The evaluation is conducted on a mathematical reasoning benchmark. The following metrics are reported: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Metric</w:t>
            </w:r>
          </w:p>
        </w:tc>
        <w:tc>
          <w:tcPr>
            <w:tcW w:type="dxa" w:w="768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What It Measures</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Exact</w:t>
            </w:r>
          </w:p>
        </w:tc>
        <w:tc>
          <w:tcPr>
            <w:tcW w:type="dxa" w:w="7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Exact Match — the fraction of predictions that exactly match the gold answer string. Strictest metric.</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R-1</w:t>
            </w:r>
          </w:p>
        </w:tc>
        <w:tc>
          <w:tcPr>
            <w:tcW w:type="dxa" w:w="7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ROUGE-1 — overlap of individual words (unigrams) between prediction and reference.</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R-2</w:t>
            </w:r>
          </w:p>
        </w:tc>
        <w:tc>
          <w:tcPr>
            <w:tcW w:type="dxa" w:w="7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ROUGE-2 — overlap of consecutive word pairs (bigrams). Captures phrase-level similarity.</w:t>
            </w:r>
          </w:p>
        </w:tc>
      </w:tr>
      <w:tr>
        <w:tc>
          <w:tcPr>
            <w:tcW w:type="dxa" w:w="1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R-L</w:t>
            </w:r>
          </w:p>
        </w:tc>
        <w:tc>
          <w:tcPr>
            <w:tcW w:type="dxa" w:w="7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ROUGE-L — longest common subsequence. Rewards output that preserves the reference word order.</w:t>
            </w:r>
          </w:p>
        </w:tc>
      </w:tr>
    </w:tbl>
    <w:p>
      <w:pPr>
        <w:spacing w:after="80" w:before="200"/>
      </w:pPr>
    </w:p>
    <w:p>
      <w:pPr>
        <w:spacing w:after="120" w:before="240"/>
      </w:pPr>
      <w:r>
        <w:rPr>
          <w:rFonts w:ascii="Arial" w:cs="Arial" w:eastAsia="Arial" w:hAnsi="Arial"/>
          <w:b/>
          <w:bCs/>
          <w:color w:val="000000"/>
          <w:sz w:val="26"/>
          <w:szCs w:val="26"/>
        </w:rPr>
        <w:t xml:space="preserve">Results</w:t>
      </w:r>
    </w:p>
    <w:p>
      <w:pPr>
        <w:spacing w:after="80" w:before="80"/>
      </w:pPr>
      <w:r>
        <w:rPr>
          <w:rFonts w:ascii="Arial" w:cs="Arial" w:eastAsia="Arial" w:hAnsi="Arial"/>
          <w:b w:val="false"/>
          <w:bCs w:val="false"/>
          <w:color w:val="000000"/>
          <w:sz w:val="20"/>
          <w:szCs w:val="20"/>
        </w:rPr>
        <w:t xml:space="preserve">Results are compared against individual (non-merged) adapters as a reference. A good merged model should ideally match or exceed the individual openmath adapter on reasoning tasks.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Model</w:t>
            </w:r>
          </w:p>
        </w:tc>
        <w:tc>
          <w:tcPr>
            <w:tcW w:type="dxa" w:w="150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Exact</w:t>
            </w:r>
          </w:p>
        </w:tc>
        <w:tc>
          <w:tcPr>
            <w:tcW w:type="dxa" w:w="150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R-1</w:t>
            </w:r>
          </w:p>
        </w:tc>
        <w:tc>
          <w:tcPr>
            <w:tcW w:type="dxa" w:w="150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R-2</w:t>
            </w:r>
          </w:p>
        </w:tc>
        <w:tc>
          <w:tcPr>
            <w:tcW w:type="dxa" w:w="150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R-L</w:t>
            </w:r>
          </w:p>
        </w:tc>
      </w:tr>
      <w:tr>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Qwen3-0.6b-slerp-merged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0.0850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0.3073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0.0703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0.1589</w:t>
            </w:r>
          </w:p>
        </w:tc>
      </w:tr>
      <w:tr>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Qwen3-0.6b-dare-merged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0.0750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0.3226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0.0769</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0.1650</w:t>
            </w:r>
          </w:p>
        </w:tc>
      </w:tr>
      <w:tr>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Qwen3-0.6b-svd-merged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0.3295</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0.0781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0.1680</w:t>
            </w:r>
          </w:p>
        </w:tc>
      </w:tr>
      <w:tr>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Qwen3-0.6b-linear-merged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0.0650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0.3291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0.0786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0.1665</w:t>
            </w:r>
          </w:p>
        </w:tc>
      </w:tr>
      <w:tr>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Qwen3-0.6b-ties-merged</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0.0400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0.3143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0.0727</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0.1604</w:t>
            </w:r>
          </w:p>
        </w:tc>
      </w:tr>
      <w:tr>
        <w:tc>
          <w:tcPr>
            <w:tcW w:type="dxa" w:w="33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openmath (reference)</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0.0700</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0.3284</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0.0762</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0.1629</w:t>
            </w:r>
          </w:p>
        </w:tc>
      </w:tr>
      <w:tr>
        <w:tc>
          <w:tcPr>
            <w:tcW w:type="dxa" w:w="336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finetome (reference)</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0.0500</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0.3296</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0.0780</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0.1632</w:t>
            </w:r>
          </w:p>
        </w:tc>
      </w:tr>
    </w:tbl>
    <w:p>
      <w:pPr>
        <w:spacing w:after="80" w:before="200"/>
      </w:pPr>
    </w:p>
    <w:p>
      <w:pPr>
        <w:spacing w:after="120" w:before="240"/>
      </w:pPr>
      <w:r>
        <w:rPr>
          <w:rFonts w:ascii="Arial" w:cs="Arial" w:eastAsia="Arial" w:hAnsi="Arial"/>
          <w:b/>
          <w:bCs/>
          <w:color w:val="000000"/>
          <w:sz w:val="26"/>
          <w:szCs w:val="26"/>
        </w:rPr>
        <w:t xml:space="preserve">Key Observations</w:t>
      </w:r>
    </w:p>
    <w:p>
      <w:pPr>
        <w:pStyle w:val="ListParagraph"/>
        <w:numPr>
          <w:ilvl w:val="0"/>
          <w:numId w:val="2"/>
        </w:numPr>
        <w:spacing w:after="60" w:before="60"/>
      </w:pPr>
      <w:r>
        <w:rPr>
          <w:rFonts w:ascii="Arial" w:cs="Arial" w:eastAsia="Arial" w:hAnsi="Arial"/>
          <w:color w:val="000000"/>
          <w:sz w:val="20"/>
          <w:szCs w:val="20"/>
        </w:rPr>
        <w:t xml:space="preserve">SLERP achieves the highest Exact Match (0.085), actually exceeding the individual openmath adapter (0.070). This is a notable result: the merged model is better at exact answer prediction than the task-specific adapter alone.</w:t>
      </w:r>
    </w:p>
    <w:p>
      <w:pPr>
        <w:pStyle w:val="ListParagraph"/>
        <w:numPr>
          <w:ilvl w:val="0"/>
          <w:numId w:val="2"/>
        </w:numPr>
        <w:spacing w:after="60" w:before="60"/>
      </w:pPr>
      <w:r>
        <w:rPr>
          <w:rFonts w:ascii="Arial" w:cs="Arial" w:eastAsia="Arial" w:hAnsi="Arial"/>
          <w:color w:val="000000"/>
          <w:sz w:val="20"/>
          <w:szCs w:val="20"/>
        </w:rPr>
        <w:t xml:space="preserve">DARE shows competitive ROUGE scores (R-1: 0.3226, R-2: 0.0769, R-L: 0.1650), suggesting it preserves generation fluency even though its Exact Match is lower. DARE may be more appropriate here than in Experiment 1 because cross-task deltas are more varied and dense, better suiting its random-drop-and-rescale approach.</w:t>
      </w:r>
    </w:p>
    <w:p>
      <w:pPr>
        <w:pStyle w:val="ListParagraph"/>
        <w:numPr>
          <w:ilvl w:val="0"/>
          <w:numId w:val="2"/>
        </w:numPr>
        <w:spacing w:after="60" w:before="60"/>
      </w:pPr>
      <w:r>
        <w:rPr>
          <w:rFonts w:ascii="Arial" w:cs="Arial" w:eastAsia="Arial" w:hAnsi="Arial"/>
          <w:color w:val="000000"/>
          <w:sz w:val="20"/>
          <w:szCs w:val="20"/>
        </w:rPr>
        <w:t xml:space="preserve">TIES performs worst on Exact Match (0.040). Cross-task adapters are likely to have severe sign conflicts in many weight matrices, and TIES may be eliminating parameters that are critical for reasoning by resolving these conflicts via simple majority vote.</w:t>
      </w:r>
    </w:p>
    <w:p>
      <w:pPr>
        <w:pStyle w:val="ListParagraph"/>
        <w:numPr>
          <w:ilvl w:val="0"/>
          <w:numId w:val="2"/>
        </w:numPr>
        <w:spacing w:after="60" w:before="60"/>
      </w:pPr>
      <w:r>
        <w:rPr>
          <w:rFonts w:ascii="Arial" w:cs="Arial" w:eastAsia="Arial" w:hAnsi="Arial"/>
          <w:color w:val="000000"/>
          <w:sz w:val="20"/>
          <w:szCs w:val="20"/>
        </w:rPr>
        <w:t xml:space="preserve">Linear and SVD sit in the middle range, both outperforming the finetome adapter on Exact Match, showing that even simple merging preserves some mathematical reasoning.</w:t>
      </w:r>
    </w:p>
    <w:p>
      <w:pPr>
        <w:pStyle w:val="ListParagraph"/>
        <w:numPr>
          <w:ilvl w:val="0"/>
          <w:numId w:val="2"/>
        </w:numPr>
        <w:spacing w:after="60" w:before="60"/>
      </w:pPr>
      <w:r>
        <w:rPr>
          <w:rFonts w:ascii="Arial" w:cs="Arial" w:eastAsia="Arial" w:hAnsi="Arial"/>
          <w:color w:val="000000"/>
          <w:sz w:val="20"/>
          <w:szCs w:val="20"/>
        </w:rPr>
        <w:t xml:space="preserve">All merged models achieve ROUGE scores close to both individual reference adapters, indicating that fluency is largely preserved regardless of merging strategy. The main differentiator is Exact Match, which tests precision of reasoning outputs.</w:t>
      </w:r>
    </w:p>
    <w:p>
      <w:pPr>
        <w:pBdr>
          <w:bottom w:val="single" w:color="CCCCCC" w:sz="6" w:space="1"/>
        </w:pBdr>
        <w:spacing w:after="160" w:before="160"/>
      </w:pPr>
    </w:p>
    <w:p>
      <w:pPr>
        <w:spacing w:after="160" w:before="360"/>
      </w:pPr>
      <w:r>
        <w:rPr>
          <w:rFonts w:ascii="Arial" w:cs="Arial" w:eastAsia="Arial" w:hAnsi="Arial"/>
          <w:b/>
          <w:bCs/>
          <w:color w:val="000000"/>
          <w:sz w:val="32"/>
          <w:szCs w:val="32"/>
        </w:rPr>
        <w:t xml:space="preserve">Comparative Summary Across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Dimension</w:t>
            </w:r>
          </w:p>
        </w:tc>
        <w:tc>
          <w:tcPr>
            <w:tcW w:type="dxa" w:w="348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Experiment 1 (Same Task, Split Data)</w:t>
            </w:r>
          </w:p>
        </w:tc>
        <w:tc>
          <w:tcPr>
            <w:tcW w:type="dxa" w:w="3480"/>
            <w:tcBorders>
              <w:top w:val="single" w:color="AAAAAA" w:sz="4"/>
              <w:left w:val="single" w:color="AAAAAA" w:sz="4"/>
              <w:bottom w:val="single" w:color="AAAAAA" w:sz="4"/>
              <w:right w:val="single" w:color="AAAAAA" w:sz="4"/>
            </w:tcBorders>
            <w:shd w:fill="2C2C2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Experiment 2 (Different Tasks)</w:t>
            </w:r>
          </w:p>
        </w:tc>
      </w:tr>
      <w:tr>
        <w:tc>
          <w:tcPr>
            <w:tcW w:type="dxa" w:w="24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Best Merger</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SLERP (Acc: 0.862)</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SLERP (Exact: 0.085) / DARE (ROUGE)</w:t>
            </w:r>
          </w:p>
        </w:tc>
      </w:tr>
      <w:tr>
        <w:tc>
          <w:tcPr>
            <w:tcW w:type="dxa" w:w="24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Worst Merger</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DARE (Acc: 0.758)</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TIES (Exact: 0.040)</w:t>
            </w:r>
          </w:p>
        </w:tc>
      </w:tr>
      <w:tr>
        <w:tc>
          <w:tcPr>
            <w:tcW w:type="dxa" w:w="24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Gap to Baseline</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SLERP loses only 1 pp vs full model</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SLERP beats individual openmath model on Exact</w:t>
            </w:r>
          </w:p>
        </w:tc>
      </w:tr>
      <w:tr>
        <w:tc>
          <w:tcPr>
            <w:tcW w:type="dxa" w:w="24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Weak Layers</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q_proj and k_proj show low cosine similarity vs full model</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Cross-task merging amplifies attention head conflicts</w:t>
            </w:r>
          </w:p>
        </w:tc>
      </w:tr>
    </w:tbl>
    <w:p>
      <w:pPr>
        <w:spacing w:after="80" w:before="200"/>
      </w:pPr>
    </w:p>
    <w:p>
      <w:pPr>
        <w:spacing w:after="120" w:before="240"/>
      </w:pPr>
      <w:r>
        <w:rPr>
          <w:rFonts w:ascii="Arial" w:cs="Arial" w:eastAsia="Arial" w:hAnsi="Arial"/>
          <w:b/>
          <w:bCs/>
          <w:color w:val="000000"/>
          <w:sz w:val="26"/>
          <w:szCs w:val="26"/>
        </w:rPr>
        <w:t xml:space="preserve">Conclusions</w:t>
      </w:r>
    </w:p>
    <w:p>
      <w:pPr>
        <w:pStyle w:val="ListParagraph"/>
        <w:numPr>
          <w:ilvl w:val="0"/>
          <w:numId w:val="2"/>
        </w:numPr>
        <w:spacing w:after="60" w:before="60"/>
      </w:pPr>
      <w:r>
        <w:rPr>
          <w:rFonts w:ascii="Arial" w:cs="Arial" w:eastAsia="Arial" w:hAnsi="Arial"/>
          <w:color w:val="000000"/>
          <w:sz w:val="20"/>
          <w:szCs w:val="20"/>
        </w:rPr>
        <w:t xml:space="preserve">SLERP is the most consistently strong merging strategy across both experimental settings. Its geodesic interpolation preserves the geometric structure of weight spaces better than linear approaches.</w:t>
      </w:r>
    </w:p>
    <w:p>
      <w:pPr>
        <w:pStyle w:val="ListParagraph"/>
        <w:numPr>
          <w:ilvl w:val="0"/>
          <w:numId w:val="2"/>
        </w:numPr>
        <w:spacing w:after="60" w:before="60"/>
      </w:pPr>
      <w:r>
        <w:rPr>
          <w:rFonts w:ascii="Arial" w:cs="Arial" w:eastAsia="Arial" w:hAnsi="Arial"/>
          <w:color w:val="000000"/>
          <w:sz w:val="20"/>
          <w:szCs w:val="20"/>
        </w:rPr>
        <w:t xml:space="preserve">DARE is highly sensitive to adapter density. It degrades on small/sparse adapters (Experiment 1) but becomes competitive on cross-task merging (Experiment 2) where deltas are larger and denser.</w:t>
      </w:r>
    </w:p>
    <w:p>
      <w:pPr>
        <w:pStyle w:val="ListParagraph"/>
        <w:numPr>
          <w:ilvl w:val="0"/>
          <w:numId w:val="2"/>
        </w:numPr>
        <w:spacing w:after="60" w:before="60"/>
      </w:pPr>
      <w:r>
        <w:rPr>
          <w:rFonts w:ascii="Arial" w:cs="Arial" w:eastAsia="Arial" w:hAnsi="Arial"/>
          <w:color w:val="000000"/>
          <w:sz w:val="20"/>
          <w:szCs w:val="20"/>
        </w:rPr>
        <w:t xml:space="preserve">TIES offers a good balance when adapters share task structure but differ in data, as its sign-resolution step reduces interference. It suffers when tasks are semantically distant.</w:t>
      </w:r>
    </w:p>
    <w:p>
      <w:pPr>
        <w:pStyle w:val="ListParagraph"/>
        <w:numPr>
          <w:ilvl w:val="0"/>
          <w:numId w:val="2"/>
        </w:numPr>
        <w:spacing w:after="60" w:before="60"/>
      </w:pPr>
      <w:r>
        <w:rPr>
          <w:rFonts w:ascii="Arial" w:cs="Arial" w:eastAsia="Arial" w:hAnsi="Arial"/>
          <w:color w:val="000000"/>
          <w:sz w:val="20"/>
          <w:szCs w:val="20"/>
        </w:rPr>
        <w:t xml:space="preserve">q_proj and k_proj are the most fragile layers during merging. Future work should consider weighted merging or layer-selective merging strategies that apply different merge coefficients to attention subcomponents vs. MLP layers.</w:t>
      </w:r>
    </w:p>
    <w:p>
      <w:pPr>
        <w:pStyle w:val="ListParagraph"/>
        <w:numPr>
          <w:ilvl w:val="0"/>
          <w:numId w:val="2"/>
        </w:numPr>
        <w:spacing w:after="60" w:before="60"/>
      </w:pPr>
      <w:r>
        <w:rPr>
          <w:rFonts w:ascii="Arial" w:cs="Arial" w:eastAsia="Arial" w:hAnsi="Arial"/>
          <w:color w:val="000000"/>
          <w:sz w:val="20"/>
          <w:szCs w:val="20"/>
        </w:rPr>
        <w:t xml:space="preserve">Merging two adapters trained on half the data (Experiment 1) closely approximates full-data training performance, suggesting that data-parallel adapter merging is a viable training strategy.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2026-06-25T09:39:06.636Z</dcterms:created>
  <dcterms:modified xsi:type="dcterms:W3CDTF">2026-06-25T09:39:06.636Z</dcterms:modified>
</cp:coreProperties>
</file>

<file path=docProps/custom.xml><?xml version="1.0" encoding="utf-8"?>
<Properties xmlns="http://schemas.openxmlformats.org/officeDocument/2006/custom-properties" xmlns:vt="http://schemas.openxmlformats.org/officeDocument/2006/docPropsVTypes"/>
</file>