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0F172A"/>
          <w:sz w:val="48"/>
        </w:rPr>
        <w:t>Series Tech Limited</w:t>
      </w:r>
    </w:p>
    <w:p>
      <w:pPr>
        <w:spacing w:before="0" w:after="360"/>
      </w:pPr>
      <w:r>
        <w:rPr>
          <w:rFonts w:ascii="Arial" w:hAnsi="Arial"/>
          <w:b/>
          <w:color w:val="0284C7"/>
          <w:sz w:val="24"/>
        </w:rPr>
        <w:t>Production-Ready Enterprise Corporate Profile &amp; Organizational Governance Manual (v2.1)</w:t>
      </w:r>
    </w:p>
    <w:p>
      <w:pPr>
        <w:keepNext/>
        <w:spacing w:before="320" w:after="120"/>
      </w:pPr>
      <w:r>
        <w:rPr>
          <w:rFonts w:ascii="Arial" w:hAnsi="Arial"/>
          <w:b/>
          <w:color w:val="0F172A"/>
          <w:sz w:val="24"/>
        </w:rPr>
        <w:t>DOCUMENT METADATA</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Metadata Attribute</w:t>
            </w:r>
          </w:p>
        </w:tc>
        <w:tc>
          <w:tcPr>
            <w:tcW w:type="dxa" w:w="4680"/>
            <w:shd w:fill="0F172A"/>
          </w:tcPr>
          <w:p>
            <w:r>
              <w:rPr>
                <w:rFonts w:ascii="Arial" w:hAnsi="Arial"/>
                <w:b/>
                <w:color w:val="FFFFFF"/>
                <w:sz w:val="17"/>
              </w:rPr>
              <w:t>System Value / Specification</w:t>
            </w:r>
          </w:p>
        </w:tc>
      </w:tr>
      <w:tr>
        <w:tc>
          <w:tcPr>
            <w:tcW w:type="dxa" w:w="4680"/>
            <w:shd w:fill="F8FAFC"/>
          </w:tcPr>
          <w:p>
            <w:r>
              <w:rPr>
                <w:rFonts w:ascii="Arial" w:hAnsi="Arial"/>
                <w:color w:val="1E293B"/>
                <w:sz w:val="16"/>
              </w:rPr>
              <w:t>Document ID</w:t>
            </w:r>
          </w:p>
        </w:tc>
        <w:tc>
          <w:tcPr>
            <w:tcW w:type="dxa" w:w="4680"/>
            <w:shd w:fill="F8FAFC"/>
          </w:tcPr>
          <w:p>
            <w:r>
              <w:rPr>
                <w:rFonts w:ascii="Arial" w:hAnsi="Arial"/>
                <w:color w:val="1E293B"/>
                <w:sz w:val="16"/>
              </w:rPr>
              <w:t>COMPANY-PROFILE-001</w:t>
            </w:r>
          </w:p>
        </w:tc>
      </w:tr>
      <w:tr>
        <w:tc>
          <w:tcPr>
            <w:tcW w:type="dxa" w:w="4680"/>
            <w:shd w:fill="FFFFFF"/>
          </w:tcPr>
          <w:p>
            <w:r>
              <w:rPr>
                <w:rFonts w:ascii="Arial" w:hAnsi="Arial"/>
                <w:color w:val="1E293B"/>
                <w:sz w:val="16"/>
              </w:rPr>
              <w:t>Document Name</w:t>
            </w:r>
          </w:p>
        </w:tc>
        <w:tc>
          <w:tcPr>
            <w:tcW w:type="dxa" w:w="4680"/>
            <w:shd w:fill="FFFFFF"/>
          </w:tcPr>
          <w:p>
            <w:r>
              <w:rPr>
                <w:rFonts w:ascii="Arial" w:hAnsi="Arial"/>
                <w:color w:val="1E293B"/>
                <w:sz w:val="16"/>
              </w:rPr>
              <w:t>Series Tech Limited Company Profile</w:t>
            </w:r>
          </w:p>
        </w:tc>
      </w:tr>
      <w:tr>
        <w:tc>
          <w:tcPr>
            <w:tcW w:type="dxa" w:w="4680"/>
            <w:shd w:fill="F8FAFC"/>
          </w:tcPr>
          <w:p>
            <w:r>
              <w:rPr>
                <w:rFonts w:ascii="Arial" w:hAnsi="Arial"/>
                <w:color w:val="1E293B"/>
                <w:sz w:val="16"/>
              </w:rPr>
              <w:t>Version &amp; Status</w:t>
            </w:r>
          </w:p>
        </w:tc>
        <w:tc>
          <w:tcPr>
            <w:tcW w:type="dxa" w:w="4680"/>
            <w:shd w:fill="F8FAFC"/>
          </w:tcPr>
          <w:p>
            <w:r>
              <w:rPr>
                <w:rFonts w:ascii="Arial" w:hAnsi="Arial"/>
                <w:color w:val="1E293B"/>
                <w:sz w:val="16"/>
              </w:rPr>
              <w:t>Version 2.1 (Active / Production-Ready)</w:t>
            </w:r>
          </w:p>
        </w:tc>
      </w:tr>
      <w:tr>
        <w:tc>
          <w:tcPr>
            <w:tcW w:type="dxa" w:w="4680"/>
            <w:shd w:fill="FFFFFF"/>
          </w:tcPr>
          <w:p>
            <w:r>
              <w:rPr>
                <w:rFonts w:ascii="Arial" w:hAnsi="Arial"/>
                <w:color w:val="1E293B"/>
                <w:sz w:val="16"/>
              </w:rPr>
              <w:t>Effective Date &amp; Owner</w:t>
            </w:r>
          </w:p>
        </w:tc>
        <w:tc>
          <w:tcPr>
            <w:tcW w:type="dxa" w:w="4680"/>
            <w:shd w:fill="FFFFFF"/>
          </w:tcPr>
          <w:p>
            <w:r>
              <w:rPr>
                <w:rFonts w:ascii="Arial" w:hAnsi="Arial"/>
                <w:color w:val="1E293B"/>
                <w:sz w:val="16"/>
              </w:rPr>
              <w:t>July 2026 | Human Resources Department</w:t>
            </w:r>
          </w:p>
        </w:tc>
      </w:tr>
      <w:tr>
        <w:tc>
          <w:tcPr>
            <w:tcW w:type="dxa" w:w="4680"/>
            <w:shd w:fill="F8FAFC"/>
          </w:tcPr>
          <w:p>
            <w:r>
              <w:rPr>
                <w:rFonts w:ascii="Arial" w:hAnsi="Arial"/>
                <w:color w:val="1E293B"/>
                <w:sz w:val="16"/>
              </w:rPr>
              <w:t>Approved By</w:t>
            </w:r>
          </w:p>
        </w:tc>
        <w:tc>
          <w:tcPr>
            <w:tcW w:type="dxa" w:w="4680"/>
            <w:shd w:fill="F8FAFC"/>
          </w:tcPr>
          <w:p>
            <w:r>
              <w:rPr>
                <w:rFonts w:ascii="Arial" w:hAnsi="Arial"/>
                <w:color w:val="1E293B"/>
                <w:sz w:val="16"/>
              </w:rPr>
              <w:t>Chief Operating Officer (COO)</w:t>
            </w:r>
          </w:p>
        </w:tc>
      </w:tr>
      <w:tr>
        <w:tc>
          <w:tcPr>
            <w:tcW w:type="dxa" w:w="4680"/>
            <w:shd w:fill="FFFFFF"/>
          </w:tcPr>
          <w:p>
            <w:r>
              <w:rPr>
                <w:rFonts w:ascii="Arial" w:hAnsi="Arial"/>
                <w:color w:val="1E293B"/>
                <w:sz w:val="16"/>
              </w:rPr>
              <w:t>Classification</w:t>
            </w:r>
          </w:p>
        </w:tc>
        <w:tc>
          <w:tcPr>
            <w:tcW w:type="dxa" w:w="4680"/>
            <w:shd w:fill="FFFFFF"/>
          </w:tcPr>
          <w:p>
            <w:r>
              <w:rPr>
                <w:rFonts w:ascii="Arial" w:hAnsi="Arial"/>
                <w:color w:val="1E293B"/>
                <w:sz w:val="16"/>
              </w:rPr>
              <w:t>Internal / Enterprise General</w:t>
            </w:r>
          </w:p>
        </w:tc>
      </w:tr>
      <w:tr>
        <w:tc>
          <w:tcPr>
            <w:tcW w:type="dxa" w:w="4680"/>
            <w:shd w:fill="F8FAFC"/>
          </w:tcPr>
          <w:p>
            <w:r>
              <w:rPr>
                <w:rFonts w:ascii="Arial" w:hAnsi="Arial"/>
                <w:color w:val="1E293B"/>
                <w:sz w:val="16"/>
              </w:rPr>
              <w:t>Review Frequency</w:t>
            </w:r>
          </w:p>
        </w:tc>
        <w:tc>
          <w:tcPr>
            <w:tcW w:type="dxa" w:w="4680"/>
            <w:shd w:fill="F8FAFC"/>
          </w:tcPr>
          <w:p>
            <w:r>
              <w:rPr>
                <w:rFonts w:ascii="Arial" w:hAnsi="Arial"/>
                <w:color w:val="1E293B"/>
                <w:sz w:val="16"/>
              </w:rPr>
              <w:t>Annually or upon material organizational changes</w:t>
            </w:r>
          </w:p>
        </w:tc>
      </w:tr>
      <w:tr>
        <w:tc>
          <w:tcPr>
            <w:tcW w:type="dxa" w:w="4680"/>
            <w:shd w:fill="FFFFFF"/>
          </w:tcPr>
          <w:p>
            <w:r>
              <w:rPr>
                <w:rFonts w:ascii="Arial" w:hAnsi="Arial"/>
                <w:color w:val="1E293B"/>
                <w:sz w:val="16"/>
              </w:rPr>
              <w:t>Applicable Locations</w:t>
            </w:r>
          </w:p>
        </w:tc>
        <w:tc>
          <w:tcPr>
            <w:tcW w:type="dxa" w:w="4680"/>
            <w:shd w:fill="FFFFFF"/>
          </w:tcPr>
          <w:p>
            <w:r>
              <w:rPr>
                <w:rFonts w:ascii="Arial" w:hAnsi="Arial"/>
                <w:color w:val="1E293B"/>
                <w:sz w:val="16"/>
              </w:rPr>
              <w:t>Hyderabad, Bangalore, Pune, Chennai, Mumbai</w:t>
            </w:r>
          </w:p>
        </w:tc>
      </w:tr>
      <w:tr>
        <w:tc>
          <w:tcPr>
            <w:tcW w:type="dxa" w:w="4680"/>
            <w:shd w:fill="F8FAFC"/>
          </w:tcPr>
          <w:p>
            <w:r>
              <w:rPr>
                <w:rFonts w:ascii="Arial" w:hAnsi="Arial"/>
                <w:color w:val="1E293B"/>
                <w:sz w:val="16"/>
              </w:rPr>
              <w:t>Applicable Personnel</w:t>
            </w:r>
          </w:p>
        </w:tc>
        <w:tc>
          <w:tcPr>
            <w:tcW w:type="dxa" w:w="4680"/>
            <w:shd w:fill="F8FAFC"/>
          </w:tcPr>
          <w:p>
            <w:r>
              <w:rPr>
                <w:rFonts w:ascii="Arial" w:hAnsi="Arial"/>
                <w:color w:val="1E293B"/>
                <w:sz w:val="16"/>
              </w:rPr>
              <w:t>Employees, interns, contractors, consultants, and authorized vendor representatives, subject to the portions applicable to their engagement</w:t>
            </w:r>
          </w:p>
        </w:tc>
      </w:tr>
      <w:tr>
        <w:tc>
          <w:tcPr>
            <w:tcW w:type="dxa" w:w="4680"/>
            <w:shd w:fill="FFFFFF"/>
          </w:tcPr>
          <w:p>
            <w:r>
              <w:rPr>
                <w:rFonts w:ascii="Arial" w:hAnsi="Arial"/>
                <w:color w:val="1E293B"/>
                <w:sz w:val="16"/>
              </w:rPr>
              <w:t>Supersedes / Related</w:t>
            </w:r>
          </w:p>
        </w:tc>
        <w:tc>
          <w:tcPr>
            <w:tcW w:type="dxa" w:w="4680"/>
            <w:shd w:fill="FFFFFF"/>
          </w:tcPr>
          <w:p>
            <w:r>
              <w:rPr>
                <w:rFonts w:ascii="Arial" w:hAnsi="Arial"/>
                <w:color w:val="1E293B"/>
                <w:sz w:val="16"/>
              </w:rPr>
              <w:t>Supersedes v2.0 / Related: Employee Lifecycle Handbook v2.0, HR Policies v3.2, Payroll v5.0, IT/Assets Policy, Code of Conduct, Travel Policy, Benefits Policy</w:t>
            </w:r>
          </w:p>
        </w:tc>
      </w:tr>
    </w:tbl>
    <w:p>
      <w:pPr>
        <w:keepNext/>
        <w:spacing w:before="320" w:after="120"/>
      </w:pPr>
      <w:r>
        <w:rPr>
          <w:rFonts w:ascii="Arial" w:hAnsi="Arial"/>
          <w:b/>
          <w:color w:val="0F172A"/>
          <w:sz w:val="24"/>
        </w:rPr>
        <w:t>RAG KNOWLEDGE BASE METADATA</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RAG Attribute</w:t>
            </w:r>
          </w:p>
        </w:tc>
        <w:tc>
          <w:tcPr>
            <w:tcW w:type="dxa" w:w="4680"/>
            <w:shd w:fill="0F172A"/>
          </w:tcPr>
          <w:p>
            <w:r>
              <w:rPr>
                <w:rFonts w:ascii="Arial" w:hAnsi="Arial"/>
                <w:b/>
                <w:color w:val="FFFFFF"/>
                <w:sz w:val="17"/>
              </w:rPr>
              <w:t>ChromaDB / Vector Field Specification</w:t>
            </w:r>
          </w:p>
        </w:tc>
      </w:tr>
      <w:tr>
        <w:tc>
          <w:tcPr>
            <w:tcW w:type="dxa" w:w="4680"/>
            <w:shd w:fill="F8FAFC"/>
          </w:tcPr>
          <w:p>
            <w:r>
              <w:rPr>
                <w:rFonts w:ascii="Arial" w:hAnsi="Arial"/>
                <w:color w:val="1E293B"/>
                <w:sz w:val="16"/>
              </w:rPr>
              <w:t>Document Type / Category</w:t>
            </w:r>
          </w:p>
        </w:tc>
        <w:tc>
          <w:tcPr>
            <w:tcW w:type="dxa" w:w="4680"/>
            <w:shd w:fill="F8FAFC"/>
          </w:tcPr>
          <w:p>
            <w:r>
              <w:rPr>
                <w:rFonts w:ascii="Arial" w:hAnsi="Arial"/>
                <w:color w:val="1E293B"/>
                <w:sz w:val="16"/>
              </w:rPr>
              <w:t>Company Profile / Corporate Information</w:t>
            </w:r>
          </w:p>
        </w:tc>
      </w:tr>
      <w:tr>
        <w:tc>
          <w:tcPr>
            <w:tcW w:type="dxa" w:w="4680"/>
            <w:shd w:fill="FFFFFF"/>
          </w:tcPr>
          <w:p>
            <w:r>
              <w:rPr>
                <w:rFonts w:ascii="Arial" w:hAnsi="Arial"/>
                <w:color w:val="1E293B"/>
                <w:sz w:val="16"/>
              </w:rPr>
              <w:t>Primary Topics</w:t>
            </w:r>
          </w:p>
        </w:tc>
        <w:tc>
          <w:tcPr>
            <w:tcW w:type="dxa" w:w="4680"/>
            <w:shd w:fill="FFFFFF"/>
          </w:tcPr>
          <w:p>
            <w:r>
              <w:rPr>
                <w:rFonts w:ascii="Arial" w:hAnsi="Arial"/>
                <w:color w:val="1E293B"/>
                <w:sz w:val="16"/>
              </w:rPr>
              <w:t>Company Overview, Mission/Vision, Core Values, Business Units, Hierarchy, Branch Offices, Conduct, Office Hours, Hybrid Work, Communications, Visitors, Emergency</w:t>
            </w:r>
          </w:p>
        </w:tc>
      </w:tr>
      <w:tr>
        <w:tc>
          <w:tcPr>
            <w:tcW w:type="dxa" w:w="4680"/>
            <w:shd w:fill="F8FAFC"/>
          </w:tcPr>
          <w:p>
            <w:r>
              <w:rPr>
                <w:rFonts w:ascii="Arial" w:hAnsi="Arial"/>
                <w:color w:val="1E293B"/>
                <w:sz w:val="16"/>
              </w:rPr>
              <w:t>Primary Department</w:t>
            </w:r>
          </w:p>
        </w:tc>
        <w:tc>
          <w:tcPr>
            <w:tcW w:type="dxa" w:w="4680"/>
            <w:shd w:fill="F8FAFC"/>
          </w:tcPr>
          <w:p>
            <w:r>
              <w:rPr>
                <w:rFonts w:ascii="Arial" w:hAnsi="Arial"/>
                <w:color w:val="1E293B"/>
                <w:sz w:val="16"/>
              </w:rPr>
              <w:t>Human Resources / Operations</w:t>
            </w:r>
          </w:p>
        </w:tc>
      </w:tr>
      <w:tr>
        <w:tc>
          <w:tcPr>
            <w:tcW w:type="dxa" w:w="4680"/>
            <w:shd w:fill="FFFFFF"/>
          </w:tcPr>
          <w:p>
            <w:r>
              <w:rPr>
                <w:rFonts w:ascii="Arial" w:hAnsi="Arial"/>
                <w:color w:val="1E293B"/>
                <w:sz w:val="16"/>
              </w:rPr>
              <w:t>Applicable Locations</w:t>
            </w:r>
          </w:p>
        </w:tc>
        <w:tc>
          <w:tcPr>
            <w:tcW w:type="dxa" w:w="4680"/>
            <w:shd w:fill="FFFFFF"/>
          </w:tcPr>
          <w:p>
            <w:r>
              <w:rPr>
                <w:rFonts w:ascii="Arial" w:hAnsi="Arial"/>
                <w:color w:val="1E293B"/>
                <w:sz w:val="16"/>
              </w:rPr>
              <w:t>Hyderabad, Bangalore, Pune, Chennai, Mumbai</w:t>
            </w:r>
          </w:p>
        </w:tc>
      </w:tr>
      <w:tr>
        <w:tc>
          <w:tcPr>
            <w:tcW w:type="dxa" w:w="4680"/>
            <w:shd w:fill="F8FAFC"/>
          </w:tcPr>
          <w:p>
            <w:r>
              <w:rPr>
                <w:rFonts w:ascii="Arial" w:hAnsi="Arial"/>
                <w:color w:val="1E293B"/>
                <w:sz w:val="16"/>
              </w:rPr>
              <w:t>Applicable Personnel</w:t>
            </w:r>
          </w:p>
        </w:tc>
        <w:tc>
          <w:tcPr>
            <w:tcW w:type="dxa" w:w="4680"/>
            <w:shd w:fill="F8FAFC"/>
          </w:tcPr>
          <w:p>
            <w:r>
              <w:rPr>
                <w:rFonts w:ascii="Arial" w:hAnsi="Arial"/>
                <w:color w:val="1E293B"/>
                <w:sz w:val="16"/>
              </w:rPr>
              <w:t>Employees, Interns, Contractors, Consultants, Authorized Vendor Representatives</w:t>
            </w:r>
          </w:p>
        </w:tc>
      </w:tr>
      <w:tr>
        <w:tc>
          <w:tcPr>
            <w:tcW w:type="dxa" w:w="4680"/>
            <w:shd w:fill="FFFFFF"/>
          </w:tcPr>
          <w:p>
            <w:r>
              <w:rPr>
                <w:rFonts w:ascii="Arial" w:hAnsi="Arial"/>
                <w:color w:val="1E293B"/>
                <w:sz w:val="16"/>
              </w:rPr>
              <w:t>Supersedes</w:t>
            </w:r>
          </w:p>
        </w:tc>
        <w:tc>
          <w:tcPr>
            <w:tcW w:type="dxa" w:w="4680"/>
            <w:shd w:fill="FFFFFF"/>
          </w:tcPr>
          <w:p>
            <w:r>
              <w:rPr>
                <w:rFonts w:ascii="Arial" w:hAnsi="Arial"/>
                <w:color w:val="1E293B"/>
                <w:sz w:val="16"/>
              </w:rPr>
              <w:t>Company Profile v2.0</w:t>
            </w:r>
          </w:p>
        </w:tc>
      </w:tr>
      <w:tr>
        <w:tc>
          <w:tcPr>
            <w:tcW w:type="dxa" w:w="4680"/>
            <w:shd w:fill="F8FAFC"/>
          </w:tcPr>
          <w:p>
            <w:r>
              <w:rPr>
                <w:rFonts w:ascii="Arial" w:hAnsi="Arial"/>
                <w:color w:val="1E293B"/>
                <w:sz w:val="16"/>
              </w:rPr>
              <w:t>Related Documents</w:t>
            </w:r>
          </w:p>
        </w:tc>
        <w:tc>
          <w:tcPr>
            <w:tcW w:type="dxa" w:w="4680"/>
            <w:shd w:fill="F8FAFC"/>
          </w:tcPr>
          <w:p>
            <w:r>
              <w:rPr>
                <w:rFonts w:ascii="Arial" w:hAnsi="Arial"/>
                <w:color w:val="1E293B"/>
                <w:sz w:val="16"/>
              </w:rPr>
              <w:t>Employee Lifecycle Handbook v2.0, HR Policies v3.2, Payroll &amp; Finance Policy v5.0, IT &amp; Information Security Policy, Employee Assets Policy, Code of Conduct, Travel &amp; Expense Policy, Employee Benefits Policy</w:t>
            </w:r>
          </w:p>
        </w:tc>
      </w:tr>
      <w:tr>
        <w:tc>
          <w:tcPr>
            <w:tcW w:type="dxa" w:w="4680"/>
            <w:shd w:fill="FFFFFF"/>
          </w:tcPr>
          <w:p>
            <w:r>
              <w:rPr>
                <w:rFonts w:ascii="Arial" w:hAnsi="Arial"/>
                <w:color w:val="1E293B"/>
                <w:sz w:val="16"/>
              </w:rPr>
              <w:t>Authority Level</w:t>
            </w:r>
          </w:p>
        </w:tc>
        <w:tc>
          <w:tcPr>
            <w:tcW w:type="dxa" w:w="4680"/>
            <w:shd w:fill="FFFFFF"/>
          </w:tcPr>
          <w:p>
            <w:r>
              <w:rPr>
                <w:rFonts w:ascii="Arial" w:hAnsi="Arial"/>
                <w:color w:val="1E293B"/>
                <w:sz w:val="16"/>
              </w:rPr>
              <w:t>General Corporate Information</w:t>
            </w:r>
          </w:p>
        </w:tc>
      </w:tr>
      <w:tr>
        <w:tc>
          <w:tcPr>
            <w:tcW w:type="dxa" w:w="4680"/>
            <w:shd w:fill="F8FAFC"/>
          </w:tcPr>
          <w:p>
            <w:r>
              <w:rPr>
                <w:rFonts w:ascii="Arial" w:hAnsi="Arial"/>
                <w:color w:val="1E293B"/>
                <w:sz w:val="16"/>
              </w:rPr>
              <w:t>Subject-Specific Policy Override</w:t>
            </w:r>
          </w:p>
        </w:tc>
        <w:tc>
          <w:tcPr>
            <w:tcW w:type="dxa" w:w="4680"/>
            <w:shd w:fill="F8FAFC"/>
          </w:tcPr>
          <w:p>
            <w:r>
              <w:rPr>
                <w:rFonts w:ascii="Arial" w:hAnsi="Arial"/>
                <w:color w:val="1E293B"/>
                <w:sz w:val="16"/>
              </w:rPr>
              <w:t>Yes (Subject-Specific Policies Override Company Profile)</w:t>
            </w:r>
          </w:p>
        </w:tc>
      </w:tr>
    </w:tbl>
    <w:p>
      <w:pPr>
        <w:keepNext/>
        <w:spacing w:before="320" w:after="120"/>
      </w:pPr>
      <w:r>
        <w:rPr>
          <w:rFonts w:ascii="Arial" w:hAnsi="Arial"/>
          <w:b/>
          <w:color w:val="0F172A"/>
          <w:sz w:val="24"/>
        </w:rPr>
        <w:t>1. Purpose &amp; Scope</w:t>
      </w:r>
    </w:p>
    <w:p>
      <w:pPr>
        <w:spacing w:before="0" w:after="100" w:line="276" w:lineRule="auto"/>
      </w:pPr>
      <w:r>
        <w:rPr>
          <w:rFonts w:ascii="Arial" w:hAnsi="Arial"/>
          <w:color w:val="1E293B"/>
          <w:sz w:val="19"/>
        </w:rPr>
        <w:t>This document provides a complete and self-contained overview of Series Tech Limited, including its history, mission, vision, core values, business units, organizational hierarchy, organization authority matrix, departments, branch office operational matrix, employee code of conduct, office timings, hybrid work governance, communication standards, dress code, visitor policy, emergency response matrix, governance workflows, policy precedence rules, decision matrices, and 50 comprehensive FAQs.</w:t>
      </w:r>
    </w:p>
    <w:p>
      <w:pPr>
        <w:spacing w:before="0" w:after="100" w:line="276" w:lineRule="auto"/>
      </w:pPr>
      <w:r>
        <w:rPr>
          <w:rFonts w:ascii="Arial" w:hAnsi="Arial"/>
          <w:b/>
          <w:color w:val="1E293B"/>
          <w:sz w:val="19"/>
        </w:rPr>
        <w:t xml:space="preserve">Scope: </w:t>
      </w:r>
      <w:r>
        <w:rPr>
          <w:rFonts w:ascii="Arial" w:hAnsi="Arial"/>
          <w:color w:val="1E293B"/>
          <w:sz w:val="19"/>
        </w:rPr>
        <w:t>Applies to every employee, contractor, intern, consultant, and authorized vendor representative working with or on behalf of Series Tech Limited across all locations, including the head office in Hyderabad and branch offices in Bangalore, Pune, Chennai, and Mumbai, subject to the portions applicable to their engagement.</w:t>
      </w:r>
    </w:p>
    <w:p>
      <w:pPr>
        <w:keepNext/>
        <w:spacing w:before="320" w:after="120"/>
      </w:pPr>
      <w:r>
        <w:rPr>
          <w:rFonts w:ascii="Arial" w:hAnsi="Arial"/>
          <w:b/>
          <w:color w:val="0F172A"/>
          <w:sz w:val="24"/>
        </w:rPr>
        <w:t>2. Introduction &amp; Company History</w:t>
      </w:r>
    </w:p>
    <w:p>
      <w:pPr>
        <w:spacing w:before="0" w:after="100" w:line="276" w:lineRule="auto"/>
      </w:pPr>
      <w:r>
        <w:rPr>
          <w:rFonts w:ascii="Arial" w:hAnsi="Arial"/>
          <w:color w:val="1E293B"/>
          <w:sz w:val="19"/>
        </w:rPr>
        <w:t>Series Tech Limited is an enterprise technology company headquartered in Hyderabad, India, employing approximately 4,500 professionals across its head office and branch offices in Bangalore, Pune, Chennai, and Mumbai. Series Tech Limited operates across Software Development, Artificial Intelligence, Cloud Computing, Cybersecurity, Enterprise Solutions, and Data Engineering, following a hybrid working model blending in-office collaboration with remote flexibility.</w:t>
      </w:r>
    </w:p>
    <w:p>
      <w:pPr>
        <w:spacing w:before="0" w:after="100" w:line="276" w:lineRule="auto"/>
      </w:pPr>
      <w:r>
        <w:rPr>
          <w:rFonts w:ascii="Arial" w:hAnsi="Arial"/>
          <w:color w:val="1E293B"/>
          <w:sz w:val="19"/>
        </w:rPr>
        <w:t>Series Tech Limited began operations in Hyderabad as a software services provider focused on custom application development. Over the years, the company expanded into cloud migration, AI consulting, and cybersecurity assessments, establishing strategic hubs in Bangalore (Cloud/DevOps), Pune (Enterprise Solutions/Data), Chennai (QA/Testing), and Mumbai (Client-Facing/Sales).</w:t>
      </w:r>
    </w:p>
    <w:p>
      <w:pPr>
        <w:keepNext/>
        <w:spacing w:before="320" w:after="120"/>
      </w:pPr>
      <w:r>
        <w:rPr>
          <w:rFonts w:ascii="Arial" w:hAnsi="Arial"/>
          <w:b/>
          <w:color w:val="0F172A"/>
          <w:sz w:val="24"/>
        </w:rPr>
        <w:t>3. Strategic Foundations: Mission, Vision &amp; Core Values</w:t>
      </w:r>
    </w:p>
    <w:p>
      <w:pPr>
        <w:spacing w:before="0" w:after="100" w:line="276" w:lineRule="auto"/>
      </w:pPr>
      <w:r>
        <w:rPr>
          <w:rFonts w:ascii="Arial" w:hAnsi="Arial"/>
          <w:b/>
          <w:color w:val="1E293B"/>
          <w:sz w:val="19"/>
        </w:rPr>
        <w:t xml:space="preserve">Mission: </w:t>
      </w:r>
      <w:r>
        <w:rPr>
          <w:rFonts w:ascii="Arial" w:hAnsi="Arial"/>
          <w:color w:val="1E293B"/>
          <w:sz w:val="19"/>
        </w:rPr>
        <w:t>To design, build, and operate reliable, secure, and intelligent technology solutions that help client organizations achieve measurable business outcomes.</w:t>
      </w:r>
    </w:p>
    <w:p>
      <w:pPr>
        <w:spacing w:before="0" w:after="100" w:line="276" w:lineRule="auto"/>
      </w:pPr>
      <w:r>
        <w:rPr>
          <w:rFonts w:ascii="Arial" w:hAnsi="Arial"/>
          <w:b/>
          <w:color w:val="1E293B"/>
          <w:sz w:val="19"/>
        </w:rPr>
        <w:t xml:space="preserve">Vision: </w:t>
      </w:r>
      <w:r>
        <w:rPr>
          <w:rFonts w:ascii="Arial" w:hAnsi="Arial"/>
          <w:color w:val="1E293B"/>
          <w:sz w:val="19"/>
        </w:rPr>
        <w:t>To become a globally trusted technology partner known for engineering excellence, security-first thinking, and a culture that develops its people as much as it serves its clients.</w:t>
      </w:r>
    </w:p>
    <w:p>
      <w:pPr>
        <w:keepNext/>
        <w:spacing w:before="240" w:after="80"/>
      </w:pPr>
      <w:r>
        <w:rPr>
          <w:rFonts w:ascii="Arial" w:hAnsi="Arial"/>
          <w:b/>
          <w:color w:val="0284C7"/>
          <w:sz w:val="20"/>
        </w:rPr>
        <w:t>3.1 Core Values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Core Value</w:t>
            </w:r>
          </w:p>
        </w:tc>
        <w:tc>
          <w:tcPr>
            <w:tcW w:type="dxa" w:w="3120"/>
            <w:shd w:fill="0F172A"/>
          </w:tcPr>
          <w:p>
            <w:r>
              <w:rPr>
                <w:rFonts w:ascii="Arial" w:hAnsi="Arial"/>
                <w:b/>
                <w:color w:val="FFFFFF"/>
                <w:sz w:val="17"/>
              </w:rPr>
              <w:t>Operational Definition</w:t>
            </w:r>
          </w:p>
        </w:tc>
        <w:tc>
          <w:tcPr>
            <w:tcW w:type="dxa" w:w="3120"/>
            <w:shd w:fill="0F172A"/>
          </w:tcPr>
          <w:p>
            <w:r>
              <w:rPr>
                <w:rFonts w:ascii="Arial" w:hAnsi="Arial"/>
                <w:b/>
                <w:color w:val="FFFFFF"/>
                <w:sz w:val="17"/>
              </w:rPr>
              <w:t>Behavioral Expectation</w:t>
            </w:r>
          </w:p>
        </w:tc>
      </w:tr>
      <w:tr>
        <w:tc>
          <w:tcPr>
            <w:tcW w:type="dxa" w:w="3120"/>
            <w:shd w:fill="F8FAFC"/>
          </w:tcPr>
          <w:p>
            <w:r>
              <w:rPr>
                <w:rFonts w:ascii="Arial" w:hAnsi="Arial"/>
                <w:color w:val="1E293B"/>
                <w:sz w:val="16"/>
              </w:rPr>
              <w:t>1. Integrity</w:t>
            </w:r>
          </w:p>
        </w:tc>
        <w:tc>
          <w:tcPr>
            <w:tcW w:type="dxa" w:w="3120"/>
            <w:shd w:fill="F8FAFC"/>
          </w:tcPr>
          <w:p>
            <w:r>
              <w:rPr>
                <w:rFonts w:ascii="Arial" w:hAnsi="Arial"/>
                <w:color w:val="1E293B"/>
                <w:sz w:val="16"/>
              </w:rPr>
              <w:t>Uncompromising honesty and transparency</w:t>
            </w:r>
          </w:p>
        </w:tc>
        <w:tc>
          <w:tcPr>
            <w:tcW w:type="dxa" w:w="3120"/>
            <w:shd w:fill="F8FAFC"/>
          </w:tcPr>
          <w:p>
            <w:r>
              <w:rPr>
                <w:rFonts w:ascii="Arial" w:hAnsi="Arial"/>
                <w:color w:val="1E293B"/>
                <w:sz w:val="16"/>
              </w:rPr>
              <w:t>Act ethically in all dealings with colleagues, clients, and vendors.</w:t>
            </w:r>
          </w:p>
        </w:tc>
      </w:tr>
      <w:tr>
        <w:tc>
          <w:tcPr>
            <w:tcW w:type="dxa" w:w="3120"/>
            <w:shd w:fill="FFFFFF"/>
          </w:tcPr>
          <w:p>
            <w:r>
              <w:rPr>
                <w:rFonts w:ascii="Arial" w:hAnsi="Arial"/>
                <w:color w:val="1E293B"/>
                <w:sz w:val="16"/>
              </w:rPr>
              <w:t>2. Ownership</w:t>
            </w:r>
          </w:p>
        </w:tc>
        <w:tc>
          <w:tcPr>
            <w:tcW w:type="dxa" w:w="3120"/>
            <w:shd w:fill="FFFFFF"/>
          </w:tcPr>
          <w:p>
            <w:r>
              <w:rPr>
                <w:rFonts w:ascii="Arial" w:hAnsi="Arial"/>
                <w:color w:val="1E293B"/>
                <w:sz w:val="16"/>
              </w:rPr>
              <w:t>End-to-end accountability</w:t>
            </w:r>
          </w:p>
        </w:tc>
        <w:tc>
          <w:tcPr>
            <w:tcW w:type="dxa" w:w="3120"/>
            <w:shd w:fill="FFFFFF"/>
          </w:tcPr>
          <w:p>
            <w:r>
              <w:rPr>
                <w:rFonts w:ascii="Arial" w:hAnsi="Arial"/>
                <w:color w:val="1E293B"/>
                <w:sz w:val="16"/>
              </w:rPr>
              <w:t>Take responsibility for work deliverables from task to deployment.</w:t>
            </w:r>
          </w:p>
        </w:tc>
      </w:tr>
      <w:tr>
        <w:tc>
          <w:tcPr>
            <w:tcW w:type="dxa" w:w="3120"/>
            <w:shd w:fill="F8FAFC"/>
          </w:tcPr>
          <w:p>
            <w:r>
              <w:rPr>
                <w:rFonts w:ascii="Arial" w:hAnsi="Arial"/>
                <w:color w:val="1E293B"/>
                <w:sz w:val="16"/>
              </w:rPr>
              <w:t>3. Innovation</w:t>
            </w:r>
          </w:p>
        </w:tc>
        <w:tc>
          <w:tcPr>
            <w:tcW w:type="dxa" w:w="3120"/>
            <w:shd w:fill="F8FAFC"/>
          </w:tcPr>
          <w:p>
            <w:r>
              <w:rPr>
                <w:rFonts w:ascii="Arial" w:hAnsi="Arial"/>
                <w:color w:val="1E293B"/>
                <w:sz w:val="16"/>
              </w:rPr>
              <w:t>Continuous experimentation &amp; modern tools</w:t>
            </w:r>
          </w:p>
        </w:tc>
        <w:tc>
          <w:tcPr>
            <w:tcW w:type="dxa" w:w="3120"/>
            <w:shd w:fill="F8FAFC"/>
          </w:tcPr>
          <w:p>
            <w:r>
              <w:rPr>
                <w:rFonts w:ascii="Arial" w:hAnsi="Arial"/>
                <w:color w:val="1E293B"/>
                <w:sz w:val="16"/>
              </w:rPr>
              <w:t>Bring forward new ideas and apply advanced technology solutions.</w:t>
            </w:r>
          </w:p>
        </w:tc>
      </w:tr>
      <w:tr>
        <w:tc>
          <w:tcPr>
            <w:tcW w:type="dxa" w:w="3120"/>
            <w:shd w:fill="FFFFFF"/>
          </w:tcPr>
          <w:p>
            <w:r>
              <w:rPr>
                <w:rFonts w:ascii="Arial" w:hAnsi="Arial"/>
                <w:color w:val="1E293B"/>
                <w:sz w:val="16"/>
              </w:rPr>
              <w:t>4. Customer Focus</w:t>
            </w:r>
          </w:p>
        </w:tc>
        <w:tc>
          <w:tcPr>
            <w:tcW w:type="dxa" w:w="3120"/>
            <w:shd w:fill="FFFFFF"/>
          </w:tcPr>
          <w:p>
            <w:r>
              <w:rPr>
                <w:rFonts w:ascii="Arial" w:hAnsi="Arial"/>
                <w:color w:val="1E293B"/>
                <w:sz w:val="16"/>
              </w:rPr>
              <w:t>Client outcome alignment</w:t>
            </w:r>
          </w:p>
        </w:tc>
        <w:tc>
          <w:tcPr>
            <w:tcW w:type="dxa" w:w="3120"/>
            <w:shd w:fill="FFFFFF"/>
          </w:tcPr>
          <w:p>
            <w:r>
              <w:rPr>
                <w:rFonts w:ascii="Arial" w:hAnsi="Arial"/>
                <w:color w:val="1E293B"/>
                <w:sz w:val="16"/>
              </w:rPr>
              <w:t>Place internal and external client success at the center of engagements.</w:t>
            </w:r>
          </w:p>
        </w:tc>
      </w:tr>
      <w:tr>
        <w:tc>
          <w:tcPr>
            <w:tcW w:type="dxa" w:w="3120"/>
            <w:shd w:fill="F8FAFC"/>
          </w:tcPr>
          <w:p>
            <w:r>
              <w:rPr>
                <w:rFonts w:ascii="Arial" w:hAnsi="Arial"/>
                <w:color w:val="1E293B"/>
                <w:sz w:val="16"/>
              </w:rPr>
              <w:t>5. Respect</w:t>
            </w:r>
          </w:p>
        </w:tc>
        <w:tc>
          <w:tcPr>
            <w:tcW w:type="dxa" w:w="3120"/>
            <w:shd w:fill="F8FAFC"/>
          </w:tcPr>
          <w:p>
            <w:r>
              <w:rPr>
                <w:rFonts w:ascii="Arial" w:hAnsi="Arial"/>
                <w:color w:val="1E293B"/>
                <w:sz w:val="16"/>
              </w:rPr>
              <w:t>Inclusive and harassment-free workplace</w:t>
            </w:r>
          </w:p>
        </w:tc>
        <w:tc>
          <w:tcPr>
            <w:tcW w:type="dxa" w:w="3120"/>
            <w:shd w:fill="F8FAFC"/>
          </w:tcPr>
          <w:p>
            <w:r>
              <w:rPr>
                <w:rFonts w:ascii="Arial" w:hAnsi="Arial"/>
                <w:color w:val="1E293B"/>
                <w:sz w:val="16"/>
              </w:rPr>
              <w:t>Maintain psychological safety and dignity for every individual.</w:t>
            </w:r>
          </w:p>
        </w:tc>
      </w:tr>
    </w:tbl>
    <w:p>
      <w:pPr>
        <w:keepNext/>
        <w:spacing w:before="320" w:after="120"/>
      </w:pPr>
      <w:r>
        <w:rPr>
          <w:rFonts w:ascii="Arial" w:hAnsi="Arial"/>
          <w:b/>
          <w:color w:val="0F172A"/>
          <w:sz w:val="24"/>
        </w:rPr>
        <w:t>4. Business Units Architecture</w:t>
      </w:r>
    </w:p>
    <w:p>
      <w:pPr>
        <w:spacing w:before="0" w:after="100" w:line="276" w:lineRule="auto"/>
      </w:pPr>
      <w:r>
        <w:rPr>
          <w:rFonts w:ascii="Arial" w:hAnsi="Arial"/>
          <w:color w:val="1E293B"/>
          <w:sz w:val="19"/>
        </w:rPr>
        <w:t>Series Tech Limited is organized into 6 core Business Units (BUs), each supported by shared corporate functions (HR, Finance, Legal, Admin):</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Business Unit (BU)</w:t>
            </w:r>
          </w:p>
        </w:tc>
        <w:tc>
          <w:tcPr>
            <w:tcW w:type="dxa" w:w="4680"/>
            <w:shd w:fill="0F172A"/>
          </w:tcPr>
          <w:p>
            <w:r>
              <w:rPr>
                <w:rFonts w:ascii="Arial" w:hAnsi="Arial"/>
                <w:b/>
                <w:color w:val="FFFFFF"/>
                <w:sz w:val="17"/>
              </w:rPr>
              <w:t>Core Focus &amp; Domain Deliverables</w:t>
            </w:r>
          </w:p>
        </w:tc>
      </w:tr>
      <w:tr>
        <w:tc>
          <w:tcPr>
            <w:tcW w:type="dxa" w:w="4680"/>
            <w:shd w:fill="F8FAFC"/>
          </w:tcPr>
          <w:p>
            <w:r>
              <w:rPr>
                <w:rFonts w:ascii="Arial" w:hAnsi="Arial"/>
                <w:color w:val="1E293B"/>
                <w:sz w:val="16"/>
              </w:rPr>
              <w:t>Software Development BU</w:t>
            </w:r>
          </w:p>
        </w:tc>
        <w:tc>
          <w:tcPr>
            <w:tcW w:type="dxa" w:w="4680"/>
            <w:shd w:fill="F8FAFC"/>
          </w:tcPr>
          <w:p>
            <w:r>
              <w:rPr>
                <w:rFonts w:ascii="Arial" w:hAnsi="Arial"/>
                <w:color w:val="1E293B"/>
                <w:sz w:val="16"/>
              </w:rPr>
              <w:t>Custom product engineering, application modernization, and microservices.</w:t>
            </w:r>
          </w:p>
        </w:tc>
      </w:tr>
      <w:tr>
        <w:tc>
          <w:tcPr>
            <w:tcW w:type="dxa" w:w="4680"/>
            <w:shd w:fill="FFFFFF"/>
          </w:tcPr>
          <w:p>
            <w:r>
              <w:rPr>
                <w:rFonts w:ascii="Arial" w:hAnsi="Arial"/>
                <w:color w:val="1E293B"/>
                <w:sz w:val="16"/>
              </w:rPr>
              <w:t>Artificial Intelligence BU</w:t>
            </w:r>
          </w:p>
        </w:tc>
        <w:tc>
          <w:tcPr>
            <w:tcW w:type="dxa" w:w="4680"/>
            <w:shd w:fill="FFFFFF"/>
          </w:tcPr>
          <w:p>
            <w:r>
              <w:rPr>
                <w:rFonts w:ascii="Arial" w:hAnsi="Arial"/>
                <w:color w:val="1E293B"/>
                <w:sz w:val="16"/>
              </w:rPr>
              <w:t>Machine learning, natural language processing, computer vision, and AI automation.</w:t>
            </w:r>
          </w:p>
        </w:tc>
      </w:tr>
      <w:tr>
        <w:tc>
          <w:tcPr>
            <w:tcW w:type="dxa" w:w="4680"/>
            <w:shd w:fill="F8FAFC"/>
          </w:tcPr>
          <w:p>
            <w:r>
              <w:rPr>
                <w:rFonts w:ascii="Arial" w:hAnsi="Arial"/>
                <w:color w:val="1E293B"/>
                <w:sz w:val="16"/>
              </w:rPr>
              <w:t>Cloud Computing BU</w:t>
            </w:r>
          </w:p>
        </w:tc>
        <w:tc>
          <w:tcPr>
            <w:tcW w:type="dxa" w:w="4680"/>
            <w:shd w:fill="F8FAFC"/>
          </w:tcPr>
          <w:p>
            <w:r>
              <w:rPr>
                <w:rFonts w:ascii="Arial" w:hAnsi="Arial"/>
                <w:color w:val="1E293B"/>
                <w:sz w:val="16"/>
              </w:rPr>
              <w:t>Cloud migration, native serverless architecture, and AWS/Azure operations.</w:t>
            </w:r>
          </w:p>
        </w:tc>
      </w:tr>
      <w:tr>
        <w:tc>
          <w:tcPr>
            <w:tcW w:type="dxa" w:w="4680"/>
            <w:shd w:fill="FFFFFF"/>
          </w:tcPr>
          <w:p>
            <w:r>
              <w:rPr>
                <w:rFonts w:ascii="Arial" w:hAnsi="Arial"/>
                <w:color w:val="1E293B"/>
                <w:sz w:val="16"/>
              </w:rPr>
              <w:t>Cybersecurity BU</w:t>
            </w:r>
          </w:p>
        </w:tc>
        <w:tc>
          <w:tcPr>
            <w:tcW w:type="dxa" w:w="4680"/>
            <w:shd w:fill="FFFFFF"/>
          </w:tcPr>
          <w:p>
            <w:r>
              <w:rPr>
                <w:rFonts w:ascii="Arial" w:hAnsi="Arial"/>
                <w:color w:val="1E293B"/>
                <w:sz w:val="16"/>
              </w:rPr>
              <w:t>Security posture assessments, Managed Detection &amp; Response (MDR), and compliance.</w:t>
            </w:r>
          </w:p>
        </w:tc>
      </w:tr>
      <w:tr>
        <w:tc>
          <w:tcPr>
            <w:tcW w:type="dxa" w:w="4680"/>
            <w:shd w:fill="F8FAFC"/>
          </w:tcPr>
          <w:p>
            <w:r>
              <w:rPr>
                <w:rFonts w:ascii="Arial" w:hAnsi="Arial"/>
                <w:color w:val="1E293B"/>
                <w:sz w:val="16"/>
              </w:rPr>
              <w:t>Enterprise Solutions BU</w:t>
            </w:r>
          </w:p>
        </w:tc>
        <w:tc>
          <w:tcPr>
            <w:tcW w:type="dxa" w:w="4680"/>
            <w:shd w:fill="F8FAFC"/>
          </w:tcPr>
          <w:p>
            <w:r>
              <w:rPr>
                <w:rFonts w:ascii="Arial" w:hAnsi="Arial"/>
                <w:color w:val="1E293B"/>
                <w:sz w:val="16"/>
              </w:rPr>
              <w:t>Implementation and customization of enterprise platforms (SAP, Salesforce).</w:t>
            </w:r>
          </w:p>
        </w:tc>
      </w:tr>
      <w:tr>
        <w:tc>
          <w:tcPr>
            <w:tcW w:type="dxa" w:w="4680"/>
            <w:shd w:fill="FFFFFF"/>
          </w:tcPr>
          <w:p>
            <w:r>
              <w:rPr>
                <w:rFonts w:ascii="Arial" w:hAnsi="Arial"/>
                <w:color w:val="1E293B"/>
                <w:sz w:val="16"/>
              </w:rPr>
              <w:t>Data Engineering BU</w:t>
            </w:r>
          </w:p>
        </w:tc>
        <w:tc>
          <w:tcPr>
            <w:tcW w:type="dxa" w:w="4680"/>
            <w:shd w:fill="FFFFFF"/>
          </w:tcPr>
          <w:p>
            <w:r>
              <w:rPr>
                <w:rFonts w:ascii="Arial" w:hAnsi="Arial"/>
                <w:color w:val="1E293B"/>
                <w:sz w:val="16"/>
              </w:rPr>
              <w:t>ETL data pipelines, data warehousing, and real-time analytics platforms.</w:t>
            </w:r>
          </w:p>
        </w:tc>
      </w:tr>
    </w:tbl>
    <w:p>
      <w:pPr>
        <w:keepNext/>
        <w:spacing w:before="320" w:after="120"/>
      </w:pPr>
      <w:r>
        <w:rPr>
          <w:rFonts w:ascii="Arial" w:hAnsi="Arial"/>
          <w:b/>
          <w:color w:val="0F172A"/>
          <w:sz w:val="24"/>
        </w:rPr>
        <w:t>5. Organization Hierarchy &amp; Authority Matrix</w:t>
      </w:r>
    </w:p>
    <w:p>
      <w:pPr>
        <w:spacing w:before="0" w:after="100" w:line="276" w:lineRule="auto"/>
      </w:pPr>
      <w:r>
        <w:rPr>
          <w:rFonts w:ascii="Arial" w:hAnsi="Arial"/>
          <w:color w:val="1E293B"/>
          <w:sz w:val="19"/>
        </w:rPr>
        <w:t>Series Tech Limited follows a 10-level hierarchy: Level 1: CEO → Level 2: COO → Level 3: CTO → Level 4: Business Unit Heads → Level 5: Department Heads → Level 6: Senior Managers → Level 7: Managers → Level 8: Team Leads → Level 9: Senior Engineers/Associates → Level 10: Engineers/Associates.</w:t>
      </w:r>
    </w:p>
    <w:p>
      <w:pPr>
        <w:keepNext/>
        <w:spacing w:before="240" w:after="80"/>
      </w:pPr>
      <w:r>
        <w:rPr>
          <w:rFonts w:ascii="Arial" w:hAnsi="Arial"/>
          <w:b/>
          <w:color w:val="0284C7"/>
          <w:sz w:val="20"/>
        </w:rPr>
        <w:t>5.1 Organization Authority Matrix</w:t>
      </w:r>
    </w:p>
    <w:tbl>
      <w:tblPr>
        <w:tblW w:type="auto" w:w="0"/>
        <w:jc w:val="center"/>
        <w:tblLook w:firstColumn="1" w:firstRow="1" w:lastColumn="0" w:lastRow="0" w:noHBand="0" w:noVBand="1" w:val="04A0"/>
      </w:tblPr>
      <w:tblGrid>
        <w:gridCol w:w="4680"/>
        <w:gridCol w:w="4680"/>
      </w:tblGrid>
      <w:tr>
        <w:tc>
          <w:tcPr>
            <w:tcW w:type="dxa" w:w="4680"/>
            <w:shd w:fill="0F172A"/>
          </w:tcPr>
          <w:p>
            <w:r>
              <w:rPr>
                <w:rFonts w:ascii="Arial" w:hAnsi="Arial"/>
                <w:b/>
                <w:color w:val="FFFFFF"/>
                <w:sz w:val="17"/>
              </w:rPr>
              <w:t>Role</w:t>
            </w:r>
          </w:p>
        </w:tc>
        <w:tc>
          <w:tcPr>
            <w:tcW w:type="dxa" w:w="4680"/>
            <w:shd w:fill="0F172A"/>
          </w:tcPr>
          <w:p>
            <w:r>
              <w:rPr>
                <w:rFonts w:ascii="Arial" w:hAnsi="Arial"/>
                <w:b/>
                <w:color w:val="FFFFFF"/>
                <w:sz w:val="17"/>
              </w:rPr>
              <w:t>Primary Responsibility</w:t>
            </w:r>
          </w:p>
        </w:tc>
      </w:tr>
      <w:tr>
        <w:tc>
          <w:tcPr>
            <w:tcW w:type="dxa" w:w="4680"/>
            <w:shd w:fill="F8FAFC"/>
          </w:tcPr>
          <w:p>
            <w:r>
              <w:rPr>
                <w:rFonts w:ascii="Arial" w:hAnsi="Arial"/>
                <w:color w:val="1E293B"/>
                <w:sz w:val="16"/>
              </w:rPr>
              <w:t>Chief Executive Officer</w:t>
            </w:r>
          </w:p>
        </w:tc>
        <w:tc>
          <w:tcPr>
            <w:tcW w:type="dxa" w:w="4680"/>
            <w:shd w:fill="F8FAFC"/>
          </w:tcPr>
          <w:p>
            <w:r>
              <w:rPr>
                <w:rFonts w:ascii="Arial" w:hAnsi="Arial"/>
                <w:color w:val="1E293B"/>
                <w:sz w:val="16"/>
              </w:rPr>
              <w:t>Overall company strategy and executive leadership.</w:t>
            </w:r>
          </w:p>
        </w:tc>
      </w:tr>
      <w:tr>
        <w:tc>
          <w:tcPr>
            <w:tcW w:type="dxa" w:w="4680"/>
            <w:shd w:fill="FFFFFF"/>
          </w:tcPr>
          <w:p>
            <w:r>
              <w:rPr>
                <w:rFonts w:ascii="Arial" w:hAnsi="Arial"/>
                <w:color w:val="1E293B"/>
                <w:sz w:val="16"/>
              </w:rPr>
              <w:t>Chief Operating Officer</w:t>
            </w:r>
          </w:p>
        </w:tc>
        <w:tc>
          <w:tcPr>
            <w:tcW w:type="dxa" w:w="4680"/>
            <w:shd w:fill="FFFFFF"/>
          </w:tcPr>
          <w:p>
            <w:r>
              <w:rPr>
                <w:rFonts w:ascii="Arial" w:hAnsi="Arial"/>
                <w:color w:val="1E293B"/>
                <w:sz w:val="16"/>
              </w:rPr>
              <w:t>Company operations and cross-functional governance.</w:t>
            </w:r>
          </w:p>
        </w:tc>
      </w:tr>
      <w:tr>
        <w:tc>
          <w:tcPr>
            <w:tcW w:type="dxa" w:w="4680"/>
            <w:shd w:fill="F8FAFC"/>
          </w:tcPr>
          <w:p>
            <w:r>
              <w:rPr>
                <w:rFonts w:ascii="Arial" w:hAnsi="Arial"/>
                <w:color w:val="1E293B"/>
                <w:sz w:val="16"/>
              </w:rPr>
              <w:t>Chief Technology Officer</w:t>
            </w:r>
          </w:p>
        </w:tc>
        <w:tc>
          <w:tcPr>
            <w:tcW w:type="dxa" w:w="4680"/>
            <w:shd w:fill="F8FAFC"/>
          </w:tcPr>
          <w:p>
            <w:r>
              <w:rPr>
                <w:rFonts w:ascii="Arial" w:hAnsi="Arial"/>
                <w:color w:val="1E293B"/>
                <w:sz w:val="16"/>
              </w:rPr>
              <w:t>Technology strategy and engineering direction.</w:t>
            </w:r>
          </w:p>
        </w:tc>
      </w:tr>
      <w:tr>
        <w:tc>
          <w:tcPr>
            <w:tcW w:type="dxa" w:w="4680"/>
            <w:shd w:fill="FFFFFF"/>
          </w:tcPr>
          <w:p>
            <w:r>
              <w:rPr>
                <w:rFonts w:ascii="Arial" w:hAnsi="Arial"/>
                <w:color w:val="1E293B"/>
                <w:sz w:val="16"/>
              </w:rPr>
              <w:t>Business Unit Head</w:t>
            </w:r>
          </w:p>
        </w:tc>
        <w:tc>
          <w:tcPr>
            <w:tcW w:type="dxa" w:w="4680"/>
            <w:shd w:fill="FFFFFF"/>
          </w:tcPr>
          <w:p>
            <w:r>
              <w:rPr>
                <w:rFonts w:ascii="Arial" w:hAnsi="Arial"/>
                <w:color w:val="1E293B"/>
                <w:sz w:val="16"/>
              </w:rPr>
              <w:t>Business unit performance and delivery.</w:t>
            </w:r>
          </w:p>
        </w:tc>
      </w:tr>
      <w:tr>
        <w:tc>
          <w:tcPr>
            <w:tcW w:type="dxa" w:w="4680"/>
            <w:shd w:fill="F8FAFC"/>
          </w:tcPr>
          <w:p>
            <w:r>
              <w:rPr>
                <w:rFonts w:ascii="Arial" w:hAnsi="Arial"/>
                <w:color w:val="1E293B"/>
                <w:sz w:val="16"/>
              </w:rPr>
              <w:t>Department Head</w:t>
            </w:r>
          </w:p>
        </w:tc>
        <w:tc>
          <w:tcPr>
            <w:tcW w:type="dxa" w:w="4680"/>
            <w:shd w:fill="F8FAFC"/>
          </w:tcPr>
          <w:p>
            <w:r>
              <w:rPr>
                <w:rFonts w:ascii="Arial" w:hAnsi="Arial"/>
                <w:color w:val="1E293B"/>
                <w:sz w:val="16"/>
              </w:rPr>
              <w:t>Department operations, people management, and functional governance.</w:t>
            </w:r>
          </w:p>
        </w:tc>
      </w:tr>
      <w:tr>
        <w:tc>
          <w:tcPr>
            <w:tcW w:type="dxa" w:w="4680"/>
            <w:shd w:fill="FFFFFF"/>
          </w:tcPr>
          <w:p>
            <w:r>
              <w:rPr>
                <w:rFonts w:ascii="Arial" w:hAnsi="Arial"/>
                <w:color w:val="1E293B"/>
                <w:sz w:val="16"/>
              </w:rPr>
              <w:t>Senior Manager</w:t>
            </w:r>
          </w:p>
        </w:tc>
        <w:tc>
          <w:tcPr>
            <w:tcW w:type="dxa" w:w="4680"/>
            <w:shd w:fill="FFFFFF"/>
          </w:tcPr>
          <w:p>
            <w:r>
              <w:rPr>
                <w:rFonts w:ascii="Arial" w:hAnsi="Arial"/>
                <w:color w:val="1E293B"/>
                <w:sz w:val="16"/>
              </w:rPr>
              <w:t>Multi-team or large-project management.</w:t>
            </w:r>
          </w:p>
        </w:tc>
      </w:tr>
      <w:tr>
        <w:tc>
          <w:tcPr>
            <w:tcW w:type="dxa" w:w="4680"/>
            <w:shd w:fill="F8FAFC"/>
          </w:tcPr>
          <w:p>
            <w:r>
              <w:rPr>
                <w:rFonts w:ascii="Arial" w:hAnsi="Arial"/>
                <w:color w:val="1E293B"/>
                <w:sz w:val="16"/>
              </w:rPr>
              <w:t>Manager</w:t>
            </w:r>
          </w:p>
        </w:tc>
        <w:tc>
          <w:tcPr>
            <w:tcW w:type="dxa" w:w="4680"/>
            <w:shd w:fill="F8FAFC"/>
          </w:tcPr>
          <w:p>
            <w:r>
              <w:rPr>
                <w:rFonts w:ascii="Arial" w:hAnsi="Arial"/>
                <w:color w:val="1E293B"/>
                <w:sz w:val="16"/>
              </w:rPr>
              <w:t>Team management and employee performance.</w:t>
            </w:r>
          </w:p>
        </w:tc>
      </w:tr>
      <w:tr>
        <w:tc>
          <w:tcPr>
            <w:tcW w:type="dxa" w:w="4680"/>
            <w:shd w:fill="FFFFFF"/>
          </w:tcPr>
          <w:p>
            <w:r>
              <w:rPr>
                <w:rFonts w:ascii="Arial" w:hAnsi="Arial"/>
                <w:color w:val="1E293B"/>
                <w:sz w:val="16"/>
              </w:rPr>
              <w:t>Team Lead</w:t>
            </w:r>
          </w:p>
        </w:tc>
        <w:tc>
          <w:tcPr>
            <w:tcW w:type="dxa" w:w="4680"/>
            <w:shd w:fill="FFFFFF"/>
          </w:tcPr>
          <w:p>
            <w:r>
              <w:rPr>
                <w:rFonts w:ascii="Arial" w:hAnsi="Arial"/>
                <w:color w:val="1E293B"/>
                <w:sz w:val="16"/>
              </w:rPr>
              <w:t>Daily technical and operational coordination.</w:t>
            </w:r>
          </w:p>
        </w:tc>
      </w:tr>
      <w:tr>
        <w:tc>
          <w:tcPr>
            <w:tcW w:type="dxa" w:w="4680"/>
            <w:shd w:fill="F8FAFC"/>
          </w:tcPr>
          <w:p>
            <w:r>
              <w:rPr>
                <w:rFonts w:ascii="Arial" w:hAnsi="Arial"/>
                <w:color w:val="1E293B"/>
                <w:sz w:val="16"/>
              </w:rPr>
              <w:t>HR Department</w:t>
            </w:r>
          </w:p>
        </w:tc>
        <w:tc>
          <w:tcPr>
            <w:tcW w:type="dxa" w:w="4680"/>
            <w:shd w:fill="F8FAFC"/>
          </w:tcPr>
          <w:p>
            <w:r>
              <w:rPr>
                <w:rFonts w:ascii="Arial" w:hAnsi="Arial"/>
                <w:color w:val="1E293B"/>
                <w:sz w:val="16"/>
              </w:rPr>
              <w:t>Employee lifecycle, HR policies, and employee records.</w:t>
            </w:r>
          </w:p>
        </w:tc>
      </w:tr>
      <w:tr>
        <w:tc>
          <w:tcPr>
            <w:tcW w:type="dxa" w:w="4680"/>
            <w:shd w:fill="FFFFFF"/>
          </w:tcPr>
          <w:p>
            <w:r>
              <w:rPr>
                <w:rFonts w:ascii="Arial" w:hAnsi="Arial"/>
                <w:color w:val="1E293B"/>
                <w:sz w:val="16"/>
              </w:rPr>
              <w:t>Finance Department</w:t>
            </w:r>
          </w:p>
        </w:tc>
        <w:tc>
          <w:tcPr>
            <w:tcW w:type="dxa" w:w="4680"/>
            <w:shd w:fill="FFFFFF"/>
          </w:tcPr>
          <w:p>
            <w:r>
              <w:rPr>
                <w:rFonts w:ascii="Arial" w:hAnsi="Arial"/>
                <w:color w:val="1E293B"/>
                <w:sz w:val="16"/>
              </w:rPr>
              <w:t>Payroll, financial operations, and expense governance.</w:t>
            </w:r>
          </w:p>
        </w:tc>
      </w:tr>
      <w:tr>
        <w:tc>
          <w:tcPr>
            <w:tcW w:type="dxa" w:w="4680"/>
            <w:shd w:fill="F8FAFC"/>
          </w:tcPr>
          <w:p>
            <w:r>
              <w:rPr>
                <w:rFonts w:ascii="Arial" w:hAnsi="Arial"/>
                <w:color w:val="1E293B"/>
                <w:sz w:val="16"/>
              </w:rPr>
              <w:t>Administration / IT</w:t>
            </w:r>
          </w:p>
        </w:tc>
        <w:tc>
          <w:tcPr>
            <w:tcW w:type="dxa" w:w="4680"/>
            <w:shd w:fill="F8FAFC"/>
          </w:tcPr>
          <w:p>
            <w:r>
              <w:rPr>
                <w:rFonts w:ascii="Arial" w:hAnsi="Arial"/>
                <w:color w:val="1E293B"/>
                <w:sz w:val="16"/>
              </w:rPr>
              <w:t>Office facilities, visitors, emergency coordination, and IT support.</w:t>
            </w:r>
          </w:p>
        </w:tc>
      </w:tr>
    </w:tbl>
    <w:p>
      <w:pPr>
        <w:keepNext/>
        <w:spacing w:before="320" w:after="120"/>
      </w:pPr>
      <w:r>
        <w:rPr>
          <w:rFonts w:ascii="Arial" w:hAnsi="Arial"/>
          <w:b/>
          <w:color w:val="0F172A"/>
          <w:sz w:val="24"/>
        </w:rPr>
        <w:t>6. Branch Offices &amp; Operational Matrix</w:t>
      </w:r>
    </w:p>
    <w:p>
      <w:pPr>
        <w:keepNext/>
        <w:spacing w:before="240" w:after="80"/>
      </w:pPr>
      <w:r>
        <w:rPr>
          <w:rFonts w:ascii="Arial" w:hAnsi="Arial"/>
          <w:b/>
          <w:color w:val="0284C7"/>
          <w:sz w:val="20"/>
        </w:rPr>
        <w:t>6.1 Branch Office Operational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7"/>
              </w:rPr>
              <w:t>Location</w:t>
            </w:r>
          </w:p>
        </w:tc>
        <w:tc>
          <w:tcPr>
            <w:tcW w:type="dxa" w:w="2340"/>
            <w:shd w:fill="0F172A"/>
          </w:tcPr>
          <w:p>
            <w:r>
              <w:rPr>
                <w:rFonts w:ascii="Arial" w:hAnsi="Arial"/>
                <w:b/>
                <w:color w:val="FFFFFF"/>
                <w:sz w:val="17"/>
              </w:rPr>
              <w:t>Primary Function</w:t>
            </w:r>
          </w:p>
        </w:tc>
        <w:tc>
          <w:tcPr>
            <w:tcW w:type="dxa" w:w="2340"/>
            <w:shd w:fill="0F172A"/>
          </w:tcPr>
          <w:p>
            <w:r>
              <w:rPr>
                <w:rFonts w:ascii="Arial" w:hAnsi="Arial"/>
                <w:b/>
                <w:color w:val="FFFFFF"/>
                <w:sz w:val="17"/>
              </w:rPr>
              <w:t>Key Departments</w:t>
            </w:r>
          </w:p>
        </w:tc>
        <w:tc>
          <w:tcPr>
            <w:tcW w:type="dxa" w:w="2340"/>
            <w:shd w:fill="0F172A"/>
          </w:tcPr>
          <w:p>
            <w:r>
              <w:rPr>
                <w:rFonts w:ascii="Arial" w:hAnsi="Arial"/>
                <w:b/>
                <w:color w:val="FFFFFF"/>
                <w:sz w:val="17"/>
              </w:rPr>
              <w:t>Office Support</w:t>
            </w:r>
          </w:p>
        </w:tc>
      </w:tr>
      <w:tr>
        <w:tc>
          <w:tcPr>
            <w:tcW w:type="dxa" w:w="2340"/>
            <w:shd w:fill="F8FAFC"/>
          </w:tcPr>
          <w:p>
            <w:r>
              <w:rPr>
                <w:rFonts w:ascii="Arial" w:hAnsi="Arial"/>
                <w:color w:val="1E293B"/>
                <w:sz w:val="16"/>
              </w:rPr>
              <w:t>Hyderabad (Head Office)</w:t>
            </w:r>
          </w:p>
        </w:tc>
        <w:tc>
          <w:tcPr>
            <w:tcW w:type="dxa" w:w="2340"/>
            <w:shd w:fill="F8FAFC"/>
          </w:tcPr>
          <w:p>
            <w:r>
              <w:rPr>
                <w:rFonts w:ascii="Arial" w:hAnsi="Arial"/>
                <w:color w:val="1E293B"/>
                <w:sz w:val="16"/>
              </w:rPr>
              <w:t>Corporate Headquarters</w:t>
            </w:r>
          </w:p>
        </w:tc>
        <w:tc>
          <w:tcPr>
            <w:tcW w:type="dxa" w:w="2340"/>
            <w:shd w:fill="F8FAFC"/>
          </w:tcPr>
          <w:p>
            <w:r>
              <w:rPr>
                <w:rFonts w:ascii="Arial" w:hAnsi="Arial"/>
                <w:color w:val="1E293B"/>
                <w:sz w:val="16"/>
              </w:rPr>
              <w:t>All Departments, HR, Finance, Executive Board</w:t>
            </w:r>
          </w:p>
        </w:tc>
        <w:tc>
          <w:tcPr>
            <w:tcW w:type="dxa" w:w="2340"/>
            <w:shd w:fill="F8FAFC"/>
          </w:tcPr>
          <w:p>
            <w:r>
              <w:rPr>
                <w:rFonts w:ascii="Arial" w:hAnsi="Arial"/>
                <w:color w:val="1E293B"/>
                <w:sz w:val="16"/>
              </w:rPr>
              <w:t>HR, Finance, Administration</w:t>
            </w:r>
          </w:p>
        </w:tc>
      </w:tr>
      <w:tr>
        <w:tc>
          <w:tcPr>
            <w:tcW w:type="dxa" w:w="2340"/>
            <w:shd w:fill="FFFFFF"/>
          </w:tcPr>
          <w:p>
            <w:r>
              <w:rPr>
                <w:rFonts w:ascii="Arial" w:hAnsi="Arial"/>
                <w:color w:val="1E293B"/>
                <w:sz w:val="16"/>
              </w:rPr>
              <w:t>Bangalore</w:t>
            </w:r>
          </w:p>
        </w:tc>
        <w:tc>
          <w:tcPr>
            <w:tcW w:type="dxa" w:w="2340"/>
            <w:shd w:fill="FFFFFF"/>
          </w:tcPr>
          <w:p>
            <w:r>
              <w:rPr>
                <w:rFonts w:ascii="Arial" w:hAnsi="Arial"/>
                <w:color w:val="1E293B"/>
                <w:sz w:val="16"/>
              </w:rPr>
              <w:t>Cloud &amp; DevOps Hub</w:t>
            </w:r>
          </w:p>
        </w:tc>
        <w:tc>
          <w:tcPr>
            <w:tcW w:type="dxa" w:w="2340"/>
            <w:shd w:fill="FFFFFF"/>
          </w:tcPr>
          <w:p>
            <w:r>
              <w:rPr>
                <w:rFonts w:ascii="Arial" w:hAnsi="Arial"/>
                <w:color w:val="1E293B"/>
                <w:sz w:val="16"/>
              </w:rPr>
              <w:t>Cloud Engineering, DevOps, Software Development</w:t>
            </w:r>
          </w:p>
        </w:tc>
        <w:tc>
          <w:tcPr>
            <w:tcW w:type="dxa" w:w="2340"/>
            <w:shd w:fill="FFFFFF"/>
          </w:tcPr>
          <w:p>
            <w:r>
              <w:rPr>
                <w:rFonts w:ascii="Arial" w:hAnsi="Arial"/>
                <w:color w:val="1E293B"/>
                <w:sz w:val="16"/>
              </w:rPr>
              <w:t>Administration, IT Support</w:t>
            </w:r>
          </w:p>
        </w:tc>
      </w:tr>
      <w:tr>
        <w:tc>
          <w:tcPr>
            <w:tcW w:type="dxa" w:w="2340"/>
            <w:shd w:fill="F8FAFC"/>
          </w:tcPr>
          <w:p>
            <w:r>
              <w:rPr>
                <w:rFonts w:ascii="Arial" w:hAnsi="Arial"/>
                <w:color w:val="1E293B"/>
                <w:sz w:val="16"/>
              </w:rPr>
              <w:t>Pune</w:t>
            </w:r>
          </w:p>
        </w:tc>
        <w:tc>
          <w:tcPr>
            <w:tcW w:type="dxa" w:w="2340"/>
            <w:shd w:fill="F8FAFC"/>
          </w:tcPr>
          <w:p>
            <w:r>
              <w:rPr>
                <w:rFonts w:ascii="Arial" w:hAnsi="Arial"/>
                <w:color w:val="1E293B"/>
                <w:sz w:val="16"/>
              </w:rPr>
              <w:t>Enterprise Solutions Hub</w:t>
            </w:r>
          </w:p>
        </w:tc>
        <w:tc>
          <w:tcPr>
            <w:tcW w:type="dxa" w:w="2340"/>
            <w:shd w:fill="F8FAFC"/>
          </w:tcPr>
          <w:p>
            <w:r>
              <w:rPr>
                <w:rFonts w:ascii="Arial" w:hAnsi="Arial"/>
                <w:color w:val="1E293B"/>
                <w:sz w:val="16"/>
              </w:rPr>
              <w:t>Enterprise Solutions, Software Development, Data Engineering</w:t>
            </w:r>
          </w:p>
        </w:tc>
        <w:tc>
          <w:tcPr>
            <w:tcW w:type="dxa" w:w="2340"/>
            <w:shd w:fill="F8FAFC"/>
          </w:tcPr>
          <w:p>
            <w:r>
              <w:rPr>
                <w:rFonts w:ascii="Arial" w:hAnsi="Arial"/>
                <w:color w:val="1E293B"/>
                <w:sz w:val="16"/>
              </w:rPr>
              <w:t>Administration, IT Support</w:t>
            </w:r>
          </w:p>
        </w:tc>
      </w:tr>
      <w:tr>
        <w:tc>
          <w:tcPr>
            <w:tcW w:type="dxa" w:w="2340"/>
            <w:shd w:fill="FFFFFF"/>
          </w:tcPr>
          <w:p>
            <w:r>
              <w:rPr>
                <w:rFonts w:ascii="Arial" w:hAnsi="Arial"/>
                <w:color w:val="1E293B"/>
                <w:sz w:val="16"/>
              </w:rPr>
              <w:t>Chennai</w:t>
            </w:r>
          </w:p>
        </w:tc>
        <w:tc>
          <w:tcPr>
            <w:tcW w:type="dxa" w:w="2340"/>
            <w:shd w:fill="FFFFFF"/>
          </w:tcPr>
          <w:p>
            <w:r>
              <w:rPr>
                <w:rFonts w:ascii="Arial" w:hAnsi="Arial"/>
                <w:color w:val="1E293B"/>
                <w:sz w:val="16"/>
              </w:rPr>
              <w:t>Quality Assurance Hub</w:t>
            </w:r>
          </w:p>
        </w:tc>
        <w:tc>
          <w:tcPr>
            <w:tcW w:type="dxa" w:w="2340"/>
            <w:shd w:fill="FFFFFF"/>
          </w:tcPr>
          <w:p>
            <w:r>
              <w:rPr>
                <w:rFonts w:ascii="Arial" w:hAnsi="Arial"/>
                <w:color w:val="1E293B"/>
                <w:sz w:val="16"/>
              </w:rPr>
              <w:t>Quality Assurance, Software Development</w:t>
            </w:r>
          </w:p>
        </w:tc>
        <w:tc>
          <w:tcPr>
            <w:tcW w:type="dxa" w:w="2340"/>
            <w:shd w:fill="FFFFFF"/>
          </w:tcPr>
          <w:p>
            <w:r>
              <w:rPr>
                <w:rFonts w:ascii="Arial" w:hAnsi="Arial"/>
                <w:color w:val="1E293B"/>
                <w:sz w:val="16"/>
              </w:rPr>
              <w:t>Administration, IT Support</w:t>
            </w:r>
          </w:p>
        </w:tc>
      </w:tr>
      <w:tr>
        <w:tc>
          <w:tcPr>
            <w:tcW w:type="dxa" w:w="2340"/>
            <w:shd w:fill="F8FAFC"/>
          </w:tcPr>
          <w:p>
            <w:r>
              <w:rPr>
                <w:rFonts w:ascii="Arial" w:hAnsi="Arial"/>
                <w:color w:val="1E293B"/>
                <w:sz w:val="16"/>
              </w:rPr>
              <w:t>Mumbai</w:t>
            </w:r>
          </w:p>
        </w:tc>
        <w:tc>
          <w:tcPr>
            <w:tcW w:type="dxa" w:w="2340"/>
            <w:shd w:fill="F8FAFC"/>
          </w:tcPr>
          <w:p>
            <w:r>
              <w:rPr>
                <w:rFonts w:ascii="Arial" w:hAnsi="Arial"/>
                <w:color w:val="1E293B"/>
                <w:sz w:val="16"/>
              </w:rPr>
              <w:t>Client-Facing Hub</w:t>
            </w:r>
          </w:p>
        </w:tc>
        <w:tc>
          <w:tcPr>
            <w:tcW w:type="dxa" w:w="2340"/>
            <w:shd w:fill="F8FAFC"/>
          </w:tcPr>
          <w:p>
            <w:r>
              <w:rPr>
                <w:rFonts w:ascii="Arial" w:hAnsi="Arial"/>
                <w:color w:val="1E293B"/>
                <w:sz w:val="16"/>
              </w:rPr>
              <w:t>Sales, Customer Success, Finance</w:t>
            </w:r>
          </w:p>
        </w:tc>
        <w:tc>
          <w:tcPr>
            <w:tcW w:type="dxa" w:w="2340"/>
            <w:shd w:fill="F8FAFC"/>
          </w:tcPr>
          <w:p>
            <w:r>
              <w:rPr>
                <w:rFonts w:ascii="Arial" w:hAnsi="Arial"/>
                <w:color w:val="1E293B"/>
                <w:sz w:val="16"/>
              </w:rPr>
              <w:t>Administration, IT Support</w:t>
            </w:r>
          </w:p>
        </w:tc>
      </w:tr>
    </w:tbl>
    <w:p>
      <w:pPr>
        <w:keepNext/>
        <w:spacing w:before="240" w:after="80"/>
      </w:pPr>
      <w:r>
        <w:rPr>
          <w:rFonts w:ascii="Arial" w:hAnsi="Arial"/>
          <w:b/>
          <w:color w:val="0284C7"/>
          <w:sz w:val="20"/>
        </w:rPr>
        <w:t>6.2 Company Information Decision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Question / Situation</w:t>
            </w:r>
          </w:p>
        </w:tc>
        <w:tc>
          <w:tcPr>
            <w:tcW w:type="dxa" w:w="3120"/>
            <w:shd w:fill="0F172A"/>
          </w:tcPr>
          <w:p>
            <w:r>
              <w:rPr>
                <w:rFonts w:ascii="Arial" w:hAnsi="Arial"/>
                <w:b/>
                <w:color w:val="FFFFFF"/>
                <w:sz w:val="17"/>
              </w:rPr>
              <w:t>Answer / Required Action</w:t>
            </w:r>
          </w:p>
        </w:tc>
        <w:tc>
          <w:tcPr>
            <w:tcW w:type="dxa" w:w="3120"/>
            <w:shd w:fill="0F172A"/>
          </w:tcPr>
          <w:p>
            <w:r>
              <w:rPr>
                <w:rFonts w:ascii="Arial" w:hAnsi="Arial"/>
                <w:b/>
                <w:color w:val="FFFFFF"/>
                <w:sz w:val="17"/>
              </w:rPr>
              <w:t>Primary Authority</w:t>
            </w:r>
          </w:p>
        </w:tc>
      </w:tr>
      <w:tr>
        <w:tc>
          <w:tcPr>
            <w:tcW w:type="dxa" w:w="3120"/>
            <w:shd w:fill="F8FAFC"/>
          </w:tcPr>
          <w:p>
            <w:r>
              <w:rPr>
                <w:rFonts w:ascii="Arial" w:hAnsi="Arial"/>
                <w:color w:val="1E293B"/>
                <w:sz w:val="16"/>
              </w:rPr>
              <w:t>Where is the head office?</w:t>
            </w:r>
          </w:p>
        </w:tc>
        <w:tc>
          <w:tcPr>
            <w:tcW w:type="dxa" w:w="3120"/>
            <w:shd w:fill="F8FAFC"/>
          </w:tcPr>
          <w:p>
            <w:r>
              <w:rPr>
                <w:rFonts w:ascii="Arial" w:hAnsi="Arial"/>
                <w:color w:val="1E293B"/>
                <w:sz w:val="16"/>
              </w:rPr>
              <w:t>Hyderabad, Telangana, India.</w:t>
            </w:r>
          </w:p>
        </w:tc>
        <w:tc>
          <w:tcPr>
            <w:tcW w:type="dxa" w:w="3120"/>
            <w:shd w:fill="F8FAFC"/>
          </w:tcPr>
          <w:p>
            <w:r>
              <w:rPr>
                <w:rFonts w:ascii="Arial" w:hAnsi="Arial"/>
                <w:color w:val="1E293B"/>
                <w:sz w:val="16"/>
              </w:rPr>
              <w:t>Human Resources</w:t>
            </w:r>
          </w:p>
        </w:tc>
      </w:tr>
      <w:tr>
        <w:tc>
          <w:tcPr>
            <w:tcW w:type="dxa" w:w="3120"/>
            <w:shd w:fill="FFFFFF"/>
          </w:tcPr>
          <w:p>
            <w:r>
              <w:rPr>
                <w:rFonts w:ascii="Arial" w:hAnsi="Arial"/>
                <w:color w:val="1E293B"/>
                <w:sz w:val="16"/>
              </w:rPr>
              <w:t>Which office is the Cloud and DevOps hub?</w:t>
            </w:r>
          </w:p>
        </w:tc>
        <w:tc>
          <w:tcPr>
            <w:tcW w:type="dxa" w:w="3120"/>
            <w:shd w:fill="FFFFFF"/>
          </w:tcPr>
          <w:p>
            <w:r>
              <w:rPr>
                <w:rFonts w:ascii="Arial" w:hAnsi="Arial"/>
                <w:color w:val="1E293B"/>
                <w:sz w:val="16"/>
              </w:rPr>
              <w:t>Bangalore.</w:t>
            </w:r>
          </w:p>
        </w:tc>
        <w:tc>
          <w:tcPr>
            <w:tcW w:type="dxa" w:w="3120"/>
            <w:shd w:fill="FFFFFF"/>
          </w:tcPr>
          <w:p>
            <w:r>
              <w:rPr>
                <w:rFonts w:ascii="Arial" w:hAnsi="Arial"/>
                <w:color w:val="1E293B"/>
                <w:sz w:val="16"/>
              </w:rPr>
              <w:t>Business Unit / Department Leadership</w:t>
            </w:r>
          </w:p>
        </w:tc>
      </w:tr>
      <w:tr>
        <w:tc>
          <w:tcPr>
            <w:tcW w:type="dxa" w:w="3120"/>
            <w:shd w:fill="F8FAFC"/>
          </w:tcPr>
          <w:p>
            <w:r>
              <w:rPr>
                <w:rFonts w:ascii="Arial" w:hAnsi="Arial"/>
                <w:color w:val="1E293B"/>
                <w:sz w:val="16"/>
              </w:rPr>
              <w:t>Which office is the Enterprise Solutions hub?</w:t>
            </w:r>
          </w:p>
        </w:tc>
        <w:tc>
          <w:tcPr>
            <w:tcW w:type="dxa" w:w="3120"/>
            <w:shd w:fill="F8FAFC"/>
          </w:tcPr>
          <w:p>
            <w:r>
              <w:rPr>
                <w:rFonts w:ascii="Arial" w:hAnsi="Arial"/>
                <w:color w:val="1E293B"/>
                <w:sz w:val="16"/>
              </w:rPr>
              <w:t>Pune.</w:t>
            </w:r>
          </w:p>
        </w:tc>
        <w:tc>
          <w:tcPr>
            <w:tcW w:type="dxa" w:w="3120"/>
            <w:shd w:fill="F8FAFC"/>
          </w:tcPr>
          <w:p>
            <w:r>
              <w:rPr>
                <w:rFonts w:ascii="Arial" w:hAnsi="Arial"/>
                <w:color w:val="1E293B"/>
                <w:sz w:val="16"/>
              </w:rPr>
              <w:t>Business Unit / Department Leadership</w:t>
            </w:r>
          </w:p>
        </w:tc>
      </w:tr>
      <w:tr>
        <w:tc>
          <w:tcPr>
            <w:tcW w:type="dxa" w:w="3120"/>
            <w:shd w:fill="FFFFFF"/>
          </w:tcPr>
          <w:p>
            <w:r>
              <w:rPr>
                <w:rFonts w:ascii="Arial" w:hAnsi="Arial"/>
                <w:color w:val="1E293B"/>
                <w:sz w:val="16"/>
              </w:rPr>
              <w:t>Which office is the Quality Assurance hub?</w:t>
            </w:r>
          </w:p>
        </w:tc>
        <w:tc>
          <w:tcPr>
            <w:tcW w:type="dxa" w:w="3120"/>
            <w:shd w:fill="FFFFFF"/>
          </w:tcPr>
          <w:p>
            <w:r>
              <w:rPr>
                <w:rFonts w:ascii="Arial" w:hAnsi="Arial"/>
                <w:color w:val="1E293B"/>
                <w:sz w:val="16"/>
              </w:rPr>
              <w:t>Chennai.</w:t>
            </w:r>
          </w:p>
        </w:tc>
        <w:tc>
          <w:tcPr>
            <w:tcW w:type="dxa" w:w="3120"/>
            <w:shd w:fill="FFFFFF"/>
          </w:tcPr>
          <w:p>
            <w:r>
              <w:rPr>
                <w:rFonts w:ascii="Arial" w:hAnsi="Arial"/>
                <w:color w:val="1E293B"/>
                <w:sz w:val="16"/>
              </w:rPr>
              <w:t>Quality Assurance Leadership</w:t>
            </w:r>
          </w:p>
        </w:tc>
      </w:tr>
      <w:tr>
        <w:tc>
          <w:tcPr>
            <w:tcW w:type="dxa" w:w="3120"/>
            <w:shd w:fill="F8FAFC"/>
          </w:tcPr>
          <w:p>
            <w:r>
              <w:rPr>
                <w:rFonts w:ascii="Arial" w:hAnsi="Arial"/>
                <w:color w:val="1E293B"/>
                <w:sz w:val="16"/>
              </w:rPr>
              <w:t>Which office is the client-facing hub?</w:t>
            </w:r>
          </w:p>
        </w:tc>
        <w:tc>
          <w:tcPr>
            <w:tcW w:type="dxa" w:w="3120"/>
            <w:shd w:fill="F8FAFC"/>
          </w:tcPr>
          <w:p>
            <w:r>
              <w:rPr>
                <w:rFonts w:ascii="Arial" w:hAnsi="Arial"/>
                <w:color w:val="1E293B"/>
                <w:sz w:val="16"/>
              </w:rPr>
              <w:t>Mumbai.</w:t>
            </w:r>
          </w:p>
        </w:tc>
        <w:tc>
          <w:tcPr>
            <w:tcW w:type="dxa" w:w="3120"/>
            <w:shd w:fill="F8FAFC"/>
          </w:tcPr>
          <w:p>
            <w:r>
              <w:rPr>
                <w:rFonts w:ascii="Arial" w:hAnsi="Arial"/>
                <w:color w:val="1E293B"/>
                <w:sz w:val="16"/>
              </w:rPr>
              <w:t>Sales / Customer Success Leadership</w:t>
            </w:r>
          </w:p>
        </w:tc>
      </w:tr>
      <w:tr>
        <w:tc>
          <w:tcPr>
            <w:tcW w:type="dxa" w:w="3120"/>
            <w:shd w:fill="FFFFFF"/>
          </w:tcPr>
          <w:p>
            <w:r>
              <w:rPr>
                <w:rFonts w:ascii="Arial" w:hAnsi="Arial"/>
                <w:color w:val="1E293B"/>
                <w:sz w:val="16"/>
              </w:rPr>
              <w:t>Who maintains the Company Profile?</w:t>
            </w:r>
          </w:p>
        </w:tc>
        <w:tc>
          <w:tcPr>
            <w:tcW w:type="dxa" w:w="3120"/>
            <w:shd w:fill="FFFFFF"/>
          </w:tcPr>
          <w:p>
            <w:r>
              <w:rPr>
                <w:rFonts w:ascii="Arial" w:hAnsi="Arial"/>
                <w:color w:val="1E293B"/>
                <w:sz w:val="16"/>
              </w:rPr>
              <w:t>Human Resources Documentation Team.</w:t>
            </w:r>
          </w:p>
        </w:tc>
        <w:tc>
          <w:tcPr>
            <w:tcW w:type="dxa" w:w="3120"/>
            <w:shd w:fill="FFFFFF"/>
          </w:tcPr>
          <w:p>
            <w:r>
              <w:rPr>
                <w:rFonts w:ascii="Arial" w:hAnsi="Arial"/>
                <w:color w:val="1E293B"/>
                <w:sz w:val="16"/>
              </w:rPr>
              <w:t>Human Resources</w:t>
            </w:r>
          </w:p>
        </w:tc>
      </w:tr>
      <w:tr>
        <w:tc>
          <w:tcPr>
            <w:tcW w:type="dxa" w:w="3120"/>
            <w:shd w:fill="F8FAFC"/>
          </w:tcPr>
          <w:p>
            <w:r>
              <w:rPr>
                <w:rFonts w:ascii="Arial" w:hAnsi="Arial"/>
                <w:color w:val="1E293B"/>
                <w:sz w:val="16"/>
              </w:rPr>
              <w:t>Who approves major updates?</w:t>
            </w:r>
          </w:p>
        </w:tc>
        <w:tc>
          <w:tcPr>
            <w:tcW w:type="dxa" w:w="3120"/>
            <w:shd w:fill="F8FAFC"/>
          </w:tcPr>
          <w:p>
            <w:r>
              <w:rPr>
                <w:rFonts w:ascii="Arial" w:hAnsi="Arial"/>
                <w:color w:val="1E293B"/>
                <w:sz w:val="16"/>
              </w:rPr>
              <w:t>Chief Operating Officer (COO).</w:t>
            </w:r>
          </w:p>
        </w:tc>
        <w:tc>
          <w:tcPr>
            <w:tcW w:type="dxa" w:w="3120"/>
            <w:shd w:fill="F8FAFC"/>
          </w:tcPr>
          <w:p>
            <w:r>
              <w:rPr>
                <w:rFonts w:ascii="Arial" w:hAnsi="Arial"/>
                <w:color w:val="1E293B"/>
                <w:sz w:val="16"/>
              </w:rPr>
              <w:t>COO</w:t>
            </w:r>
          </w:p>
        </w:tc>
      </w:tr>
      <w:tr>
        <w:tc>
          <w:tcPr>
            <w:tcW w:type="dxa" w:w="3120"/>
            <w:shd w:fill="FFFFFF"/>
          </w:tcPr>
          <w:p>
            <w:r>
              <w:rPr>
                <w:rFonts w:ascii="Arial" w:hAnsi="Arial"/>
                <w:color w:val="1E293B"/>
                <w:sz w:val="16"/>
              </w:rPr>
              <w:t>Who approves minor factual corrections?</w:t>
            </w:r>
          </w:p>
        </w:tc>
        <w:tc>
          <w:tcPr>
            <w:tcW w:type="dxa" w:w="3120"/>
            <w:shd w:fill="FFFFFF"/>
          </w:tcPr>
          <w:p>
            <w:r>
              <w:rPr>
                <w:rFonts w:ascii="Arial" w:hAnsi="Arial"/>
                <w:color w:val="1E293B"/>
                <w:sz w:val="16"/>
              </w:rPr>
              <w:t>Head of Human Resources.</w:t>
            </w:r>
          </w:p>
        </w:tc>
        <w:tc>
          <w:tcPr>
            <w:tcW w:type="dxa" w:w="3120"/>
            <w:shd w:fill="FFFFFF"/>
          </w:tcPr>
          <w:p>
            <w:r>
              <w:rPr>
                <w:rFonts w:ascii="Arial" w:hAnsi="Arial"/>
                <w:color w:val="1E293B"/>
                <w:sz w:val="16"/>
              </w:rPr>
              <w:t>Human Resources</w:t>
            </w:r>
          </w:p>
        </w:tc>
      </w:tr>
      <w:tr>
        <w:tc>
          <w:tcPr>
            <w:tcW w:type="dxa" w:w="3120"/>
            <w:shd w:fill="F8FAFC"/>
          </w:tcPr>
          <w:p>
            <w:r>
              <w:rPr>
                <w:rFonts w:ascii="Arial" w:hAnsi="Arial"/>
                <w:color w:val="1E293B"/>
                <w:sz w:val="16"/>
              </w:rPr>
              <w:t>Where can employees find the latest version?</w:t>
            </w:r>
          </w:p>
        </w:tc>
        <w:tc>
          <w:tcPr>
            <w:tcW w:type="dxa" w:w="3120"/>
            <w:shd w:fill="F8FAFC"/>
          </w:tcPr>
          <w:p>
            <w:r>
              <w:rPr>
                <w:rFonts w:ascii="Arial" w:hAnsi="Arial"/>
                <w:color w:val="1E293B"/>
                <w:sz w:val="16"/>
              </w:rPr>
              <w:t>Series Tech Limited Learning Portal.</w:t>
            </w:r>
          </w:p>
        </w:tc>
        <w:tc>
          <w:tcPr>
            <w:tcW w:type="dxa" w:w="3120"/>
            <w:shd w:fill="F8FAFC"/>
          </w:tcPr>
          <w:p>
            <w:r>
              <w:rPr>
                <w:rFonts w:ascii="Arial" w:hAnsi="Arial"/>
                <w:color w:val="1E293B"/>
                <w:sz w:val="16"/>
              </w:rPr>
              <w:t>Human Resources</w:t>
            </w:r>
          </w:p>
        </w:tc>
      </w:tr>
      <w:tr>
        <w:tc>
          <w:tcPr>
            <w:tcW w:type="dxa" w:w="3120"/>
            <w:shd w:fill="FFFFFF"/>
          </w:tcPr>
          <w:p>
            <w:r>
              <w:rPr>
                <w:rFonts w:ascii="Arial" w:hAnsi="Arial"/>
                <w:color w:val="1E293B"/>
                <w:sz w:val="16"/>
              </w:rPr>
              <w:t>Which policy governs leave and attendance?</w:t>
            </w:r>
          </w:p>
        </w:tc>
        <w:tc>
          <w:tcPr>
            <w:tcW w:type="dxa" w:w="3120"/>
            <w:shd w:fill="FFFFFF"/>
          </w:tcPr>
          <w:p>
            <w:r>
              <w:rPr>
                <w:rFonts w:ascii="Arial" w:hAnsi="Arial"/>
                <w:color w:val="1E293B"/>
                <w:sz w:val="16"/>
              </w:rPr>
              <w:t>HR Policies v3.2.</w:t>
            </w:r>
          </w:p>
        </w:tc>
        <w:tc>
          <w:tcPr>
            <w:tcW w:type="dxa" w:w="3120"/>
            <w:shd w:fill="FFFFFF"/>
          </w:tcPr>
          <w:p>
            <w:r>
              <w:rPr>
                <w:rFonts w:ascii="Arial" w:hAnsi="Arial"/>
                <w:color w:val="1E293B"/>
                <w:sz w:val="16"/>
              </w:rPr>
              <w:t>Human Resources</w:t>
            </w:r>
          </w:p>
        </w:tc>
      </w:tr>
      <w:tr>
        <w:tc>
          <w:tcPr>
            <w:tcW w:type="dxa" w:w="3120"/>
            <w:shd w:fill="F8FAFC"/>
          </w:tcPr>
          <w:p>
            <w:r>
              <w:rPr>
                <w:rFonts w:ascii="Arial" w:hAnsi="Arial"/>
                <w:color w:val="1E293B"/>
                <w:sz w:val="16"/>
              </w:rPr>
              <w:t>Which policy governs resignation and exit?</w:t>
            </w:r>
          </w:p>
        </w:tc>
        <w:tc>
          <w:tcPr>
            <w:tcW w:type="dxa" w:w="3120"/>
            <w:shd w:fill="F8FAFC"/>
          </w:tcPr>
          <w:p>
            <w:r>
              <w:rPr>
                <w:rFonts w:ascii="Arial" w:hAnsi="Arial"/>
                <w:color w:val="1E293B"/>
                <w:sz w:val="16"/>
              </w:rPr>
              <w:t>Employee Lifecycle Handbook v2.0.</w:t>
            </w:r>
          </w:p>
        </w:tc>
        <w:tc>
          <w:tcPr>
            <w:tcW w:type="dxa" w:w="3120"/>
            <w:shd w:fill="F8FAFC"/>
          </w:tcPr>
          <w:p>
            <w:r>
              <w:rPr>
                <w:rFonts w:ascii="Arial" w:hAnsi="Arial"/>
                <w:color w:val="1E293B"/>
                <w:sz w:val="16"/>
              </w:rPr>
              <w:t>Human Resources</w:t>
            </w:r>
          </w:p>
        </w:tc>
      </w:tr>
      <w:tr>
        <w:tc>
          <w:tcPr>
            <w:tcW w:type="dxa" w:w="3120"/>
            <w:shd w:fill="FFFFFF"/>
          </w:tcPr>
          <w:p>
            <w:r>
              <w:rPr>
                <w:rFonts w:ascii="Arial" w:hAnsi="Arial"/>
                <w:color w:val="1E293B"/>
                <w:sz w:val="16"/>
              </w:rPr>
              <w:t>Which policy governs payroll and FnF?</w:t>
            </w:r>
          </w:p>
        </w:tc>
        <w:tc>
          <w:tcPr>
            <w:tcW w:type="dxa" w:w="3120"/>
            <w:shd w:fill="FFFFFF"/>
          </w:tcPr>
          <w:p>
            <w:r>
              <w:rPr>
                <w:rFonts w:ascii="Arial" w:hAnsi="Arial"/>
                <w:color w:val="1E293B"/>
                <w:sz w:val="16"/>
              </w:rPr>
              <w:t>Payroll &amp; Finance Policy v5.0.</w:t>
            </w:r>
          </w:p>
        </w:tc>
        <w:tc>
          <w:tcPr>
            <w:tcW w:type="dxa" w:w="3120"/>
            <w:shd w:fill="FFFFFF"/>
          </w:tcPr>
          <w:p>
            <w:r>
              <w:rPr>
                <w:rFonts w:ascii="Arial" w:hAnsi="Arial"/>
                <w:color w:val="1E293B"/>
                <w:sz w:val="16"/>
              </w:rPr>
              <w:t>Finance</w:t>
            </w:r>
          </w:p>
        </w:tc>
      </w:tr>
      <w:tr>
        <w:tc>
          <w:tcPr>
            <w:tcW w:type="dxa" w:w="3120"/>
            <w:shd w:fill="F8FAFC"/>
          </w:tcPr>
          <w:p>
            <w:r>
              <w:rPr>
                <w:rFonts w:ascii="Arial" w:hAnsi="Arial"/>
                <w:color w:val="1E293B"/>
                <w:sz w:val="16"/>
              </w:rPr>
              <w:t>Which policy governs cybersecurity?</w:t>
            </w:r>
          </w:p>
        </w:tc>
        <w:tc>
          <w:tcPr>
            <w:tcW w:type="dxa" w:w="3120"/>
            <w:shd w:fill="F8FAFC"/>
          </w:tcPr>
          <w:p>
            <w:r>
              <w:rPr>
                <w:rFonts w:ascii="Arial" w:hAnsi="Arial"/>
                <w:color w:val="1E293B"/>
                <w:sz w:val="16"/>
              </w:rPr>
              <w:t>Applicable IT and Information Security Policies.</w:t>
            </w:r>
          </w:p>
        </w:tc>
        <w:tc>
          <w:tcPr>
            <w:tcW w:type="dxa" w:w="3120"/>
            <w:shd w:fill="F8FAFC"/>
          </w:tcPr>
          <w:p>
            <w:r>
              <w:rPr>
                <w:rFonts w:ascii="Arial" w:hAnsi="Arial"/>
                <w:color w:val="1E293B"/>
                <w:sz w:val="16"/>
              </w:rPr>
              <w:t>Information Security / IT</w:t>
            </w:r>
          </w:p>
        </w:tc>
      </w:tr>
      <w:tr>
        <w:tc>
          <w:tcPr>
            <w:tcW w:type="dxa" w:w="3120"/>
            <w:shd w:fill="FFFFFF"/>
          </w:tcPr>
          <w:p>
            <w:r>
              <w:rPr>
                <w:rFonts w:ascii="Arial" w:hAnsi="Arial"/>
                <w:color w:val="1E293B"/>
                <w:sz w:val="16"/>
              </w:rPr>
              <w:t>Which policy governs employee benefits?</w:t>
            </w:r>
          </w:p>
        </w:tc>
        <w:tc>
          <w:tcPr>
            <w:tcW w:type="dxa" w:w="3120"/>
            <w:shd w:fill="FFFFFF"/>
          </w:tcPr>
          <w:p>
            <w:r>
              <w:rPr>
                <w:rFonts w:ascii="Arial" w:hAnsi="Arial"/>
                <w:color w:val="1E293B"/>
                <w:sz w:val="16"/>
              </w:rPr>
              <w:t>Employee Benefits Policy.</w:t>
            </w:r>
          </w:p>
        </w:tc>
        <w:tc>
          <w:tcPr>
            <w:tcW w:type="dxa" w:w="3120"/>
            <w:shd w:fill="FFFFFF"/>
          </w:tcPr>
          <w:p>
            <w:r>
              <w:rPr>
                <w:rFonts w:ascii="Arial" w:hAnsi="Arial"/>
                <w:color w:val="1E293B"/>
                <w:sz w:val="16"/>
              </w:rPr>
              <w:t>Human Resources</w:t>
            </w:r>
          </w:p>
        </w:tc>
      </w:tr>
    </w:tbl>
    <w:p>
      <w:pPr>
        <w:keepNext/>
        <w:spacing w:before="240" w:after="80"/>
      </w:pPr>
      <w:r>
        <w:rPr>
          <w:rFonts w:ascii="Arial" w:hAnsi="Arial"/>
          <w:b/>
          <w:color w:val="0284C7"/>
          <w:sz w:val="20"/>
        </w:rPr>
        <w:t>6.3 Branch Mobility Boundary</w:t>
      </w:r>
    </w:p>
    <w:p>
      <w:pPr>
        <w:spacing w:before="0" w:after="100" w:line="276" w:lineRule="auto"/>
      </w:pPr>
      <w:r>
        <w:rPr>
          <w:rFonts w:ascii="Arial" w:hAnsi="Arial"/>
          <w:color w:val="1E293B"/>
          <w:sz w:val="19"/>
        </w:rPr>
        <w:t>Employees may be required to travel between Series Tech Limited offices for project delivery, training, meetings, or other approved business requirements.</w:t>
      </w:r>
    </w:p>
    <w:p>
      <w:pPr>
        <w:spacing w:before="0" w:after="100" w:line="276" w:lineRule="auto"/>
      </w:pPr>
      <w:r>
        <w:rPr>
          <w:rFonts w:ascii="Arial" w:hAnsi="Arial"/>
          <w:color w:val="1E293B"/>
          <w:sz w:val="19"/>
        </w:rPr>
        <w:t>Temporary business travel between offices does not constitute a permanent employee transfer.</w:t>
      </w:r>
    </w:p>
    <w:p>
      <w:pPr>
        <w:spacing w:before="0" w:after="100" w:line="276" w:lineRule="auto"/>
      </w:pPr>
      <w:r>
        <w:rPr>
          <w:rFonts w:ascii="Arial" w:hAnsi="Arial"/>
          <w:color w:val="1E293B"/>
          <w:sz w:val="19"/>
        </w:rPr>
        <w:t>Permanent or long-term transfer between departments or branch offices is governed by the Employee Lifecycle Handbook v2.0 and applicable HR policies.</w:t>
      </w:r>
    </w:p>
    <w:p>
      <w:pPr>
        <w:spacing w:before="0" w:after="100" w:line="276" w:lineRule="auto"/>
      </w:pPr>
      <w:r>
        <w:rPr>
          <w:rFonts w:ascii="Arial" w:hAnsi="Arial"/>
          <w:color w:val="1E293B"/>
          <w:sz w:val="19"/>
        </w:rPr>
        <w:t>Employees must not assume that travel to another branch automatically changes their payroll location, reporting manager, employee records, or official work location.</w:t>
      </w:r>
    </w:p>
    <w:p>
      <w:pPr>
        <w:spacing w:before="0" w:after="100" w:line="276" w:lineRule="auto"/>
      </w:pPr>
      <w:r>
        <w:rPr>
          <w:rFonts w:ascii="Arial" w:hAnsi="Arial"/>
          <w:color w:val="1E293B"/>
          <w:sz w:val="19"/>
        </w:rPr>
        <w:t>Any permanent change to an employee's assigned work location must follow the applicable internal transfer and HR approval process.</w:t>
      </w:r>
    </w:p>
    <w:p>
      <w:pPr>
        <w:keepNext/>
        <w:spacing w:before="320" w:after="120"/>
      </w:pPr>
      <w:r>
        <w:rPr>
          <w:rFonts w:ascii="Arial" w:hAnsi="Arial"/>
          <w:b/>
          <w:color w:val="0F172A"/>
          <w:sz w:val="24"/>
        </w:rPr>
        <w:t>7. Code of Conduct &amp; Workplace Decision Matrix</w:t>
      </w:r>
    </w:p>
    <w:p>
      <w:pPr>
        <w:spacing w:before="0" w:after="100" w:line="276" w:lineRule="auto"/>
      </w:pPr>
      <w:r>
        <w:rPr>
          <w:rFonts w:ascii="Arial" w:hAnsi="Arial"/>
          <w:color w:val="1E293B"/>
          <w:sz w:val="19"/>
        </w:rPr>
        <w:t>Series Tech Limited maintains a zero-tolerance policy for harassment, discrimination, and workplace violence. Employees must act ethically, protect confidential data, and report violations immediately.</w:t>
      </w:r>
    </w:p>
    <w:p>
      <w:pPr>
        <w:keepNext/>
        <w:spacing w:before="240" w:after="80"/>
      </w:pPr>
      <w:r>
        <w:rPr>
          <w:rFonts w:ascii="Arial" w:hAnsi="Arial"/>
          <w:b/>
          <w:color w:val="0284C7"/>
          <w:sz w:val="20"/>
        </w:rPr>
        <w:t>7.1 Workplace Conduct Decision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Situation</w:t>
            </w:r>
          </w:p>
        </w:tc>
        <w:tc>
          <w:tcPr>
            <w:tcW w:type="dxa" w:w="3120"/>
            <w:shd w:fill="0F172A"/>
          </w:tcPr>
          <w:p>
            <w:r>
              <w:rPr>
                <w:rFonts w:ascii="Arial" w:hAnsi="Arial"/>
                <w:b/>
                <w:color w:val="FFFFFF"/>
                <w:sz w:val="17"/>
              </w:rPr>
              <w:t>Required Action</w:t>
            </w:r>
          </w:p>
        </w:tc>
        <w:tc>
          <w:tcPr>
            <w:tcW w:type="dxa" w:w="3120"/>
            <w:shd w:fill="0F172A"/>
          </w:tcPr>
          <w:p>
            <w:r>
              <w:rPr>
                <w:rFonts w:ascii="Arial" w:hAnsi="Arial"/>
                <w:b/>
                <w:color w:val="FFFFFF"/>
                <w:sz w:val="17"/>
              </w:rPr>
              <w:t>Primary Contact</w:t>
            </w:r>
          </w:p>
        </w:tc>
      </w:tr>
      <w:tr>
        <w:tc>
          <w:tcPr>
            <w:tcW w:type="dxa" w:w="3120"/>
            <w:shd w:fill="F8FAFC"/>
          </w:tcPr>
          <w:p>
            <w:r>
              <w:rPr>
                <w:rFonts w:ascii="Arial" w:hAnsi="Arial"/>
                <w:color w:val="1E293B"/>
                <w:sz w:val="16"/>
              </w:rPr>
              <w:t>Harassment complaint</w:t>
            </w:r>
          </w:p>
        </w:tc>
        <w:tc>
          <w:tcPr>
            <w:tcW w:type="dxa" w:w="3120"/>
            <w:shd w:fill="F8FAFC"/>
          </w:tcPr>
          <w:p>
            <w:r>
              <w:rPr>
                <w:rFonts w:ascii="Arial" w:hAnsi="Arial"/>
                <w:color w:val="1E293B"/>
                <w:sz w:val="16"/>
              </w:rPr>
              <w:t>Report immediately</w:t>
            </w:r>
          </w:p>
        </w:tc>
        <w:tc>
          <w:tcPr>
            <w:tcW w:type="dxa" w:w="3120"/>
            <w:shd w:fill="F8FAFC"/>
          </w:tcPr>
          <w:p>
            <w:r>
              <w:rPr>
                <w:rFonts w:ascii="Arial" w:hAnsi="Arial"/>
                <w:color w:val="1E293B"/>
                <w:sz w:val="16"/>
              </w:rPr>
              <w:t>HR</w:t>
            </w:r>
          </w:p>
        </w:tc>
      </w:tr>
      <w:tr>
        <w:tc>
          <w:tcPr>
            <w:tcW w:type="dxa" w:w="3120"/>
            <w:shd w:fill="FFFFFF"/>
          </w:tcPr>
          <w:p>
            <w:r>
              <w:rPr>
                <w:rFonts w:ascii="Arial" w:hAnsi="Arial"/>
                <w:color w:val="1E293B"/>
                <w:sz w:val="16"/>
              </w:rPr>
              <w:t>Discrimination concern</w:t>
            </w:r>
          </w:p>
        </w:tc>
        <w:tc>
          <w:tcPr>
            <w:tcW w:type="dxa" w:w="3120"/>
            <w:shd w:fill="FFFFFF"/>
          </w:tcPr>
          <w:p>
            <w:r>
              <w:rPr>
                <w:rFonts w:ascii="Arial" w:hAnsi="Arial"/>
                <w:color w:val="1E293B"/>
                <w:sz w:val="16"/>
              </w:rPr>
              <w:t>Report immediately</w:t>
            </w:r>
          </w:p>
        </w:tc>
        <w:tc>
          <w:tcPr>
            <w:tcW w:type="dxa" w:w="3120"/>
            <w:shd w:fill="FFFFFF"/>
          </w:tcPr>
          <w:p>
            <w:r>
              <w:rPr>
                <w:rFonts w:ascii="Arial" w:hAnsi="Arial"/>
                <w:color w:val="1E293B"/>
                <w:sz w:val="16"/>
              </w:rPr>
              <w:t>HR</w:t>
            </w:r>
          </w:p>
        </w:tc>
      </w:tr>
      <w:tr>
        <w:tc>
          <w:tcPr>
            <w:tcW w:type="dxa" w:w="3120"/>
            <w:shd w:fill="F8FAFC"/>
          </w:tcPr>
          <w:p>
            <w:r>
              <w:rPr>
                <w:rFonts w:ascii="Arial" w:hAnsi="Arial"/>
                <w:color w:val="1E293B"/>
                <w:sz w:val="16"/>
              </w:rPr>
              <w:t>Workplace violence</w:t>
            </w:r>
          </w:p>
        </w:tc>
        <w:tc>
          <w:tcPr>
            <w:tcW w:type="dxa" w:w="3120"/>
            <w:shd w:fill="F8FAFC"/>
          </w:tcPr>
          <w:p>
            <w:r>
              <w:rPr>
                <w:rFonts w:ascii="Arial" w:hAnsi="Arial"/>
                <w:color w:val="1E293B"/>
                <w:sz w:val="16"/>
              </w:rPr>
              <w:t>Contact security and HR immediately</w:t>
            </w:r>
          </w:p>
        </w:tc>
        <w:tc>
          <w:tcPr>
            <w:tcW w:type="dxa" w:w="3120"/>
            <w:shd w:fill="F8FAFC"/>
          </w:tcPr>
          <w:p>
            <w:r>
              <w:rPr>
                <w:rFonts w:ascii="Arial" w:hAnsi="Arial"/>
                <w:color w:val="1E293B"/>
                <w:sz w:val="16"/>
              </w:rPr>
              <w:t>Security / HR</w:t>
            </w:r>
          </w:p>
        </w:tc>
      </w:tr>
      <w:tr>
        <w:tc>
          <w:tcPr>
            <w:tcW w:type="dxa" w:w="3120"/>
            <w:shd w:fill="FFFFFF"/>
          </w:tcPr>
          <w:p>
            <w:r>
              <w:rPr>
                <w:rFonts w:ascii="Arial" w:hAnsi="Arial"/>
                <w:color w:val="1E293B"/>
                <w:sz w:val="16"/>
              </w:rPr>
              <w:t>Confidential information violation</w:t>
            </w:r>
          </w:p>
        </w:tc>
        <w:tc>
          <w:tcPr>
            <w:tcW w:type="dxa" w:w="3120"/>
            <w:shd w:fill="FFFFFF"/>
          </w:tcPr>
          <w:p>
            <w:r>
              <w:rPr>
                <w:rFonts w:ascii="Arial" w:hAnsi="Arial"/>
                <w:color w:val="1E293B"/>
                <w:sz w:val="16"/>
              </w:rPr>
              <w:t>Report immediately</w:t>
            </w:r>
          </w:p>
        </w:tc>
        <w:tc>
          <w:tcPr>
            <w:tcW w:type="dxa" w:w="3120"/>
            <w:shd w:fill="FFFFFF"/>
          </w:tcPr>
          <w:p>
            <w:r>
              <w:rPr>
                <w:rFonts w:ascii="Arial" w:hAnsi="Arial"/>
                <w:color w:val="1E293B"/>
                <w:sz w:val="16"/>
              </w:rPr>
              <w:t>Manager / Information Security</w:t>
            </w:r>
          </w:p>
        </w:tc>
      </w:tr>
      <w:tr>
        <w:tc>
          <w:tcPr>
            <w:tcW w:type="dxa" w:w="3120"/>
            <w:shd w:fill="F8FAFC"/>
          </w:tcPr>
          <w:p>
            <w:r>
              <w:rPr>
                <w:rFonts w:ascii="Arial" w:hAnsi="Arial"/>
                <w:color w:val="1E293B"/>
                <w:sz w:val="16"/>
              </w:rPr>
              <w:t>Conflict of interest</w:t>
            </w:r>
          </w:p>
        </w:tc>
        <w:tc>
          <w:tcPr>
            <w:tcW w:type="dxa" w:w="3120"/>
            <w:shd w:fill="F8FAFC"/>
          </w:tcPr>
          <w:p>
            <w:r>
              <w:rPr>
                <w:rFonts w:ascii="Arial" w:hAnsi="Arial"/>
                <w:color w:val="1E293B"/>
                <w:sz w:val="16"/>
              </w:rPr>
              <w:t>Disclose promptly</w:t>
            </w:r>
          </w:p>
        </w:tc>
        <w:tc>
          <w:tcPr>
            <w:tcW w:type="dxa" w:w="3120"/>
            <w:shd w:fill="F8FAFC"/>
          </w:tcPr>
          <w:p>
            <w:r>
              <w:rPr>
                <w:rFonts w:ascii="Arial" w:hAnsi="Arial"/>
                <w:color w:val="1E293B"/>
                <w:sz w:val="16"/>
              </w:rPr>
              <w:t>Manager / HR</w:t>
            </w:r>
          </w:p>
        </w:tc>
      </w:tr>
      <w:tr>
        <w:tc>
          <w:tcPr>
            <w:tcW w:type="dxa" w:w="3120"/>
            <w:shd w:fill="FFFFFF"/>
          </w:tcPr>
          <w:p>
            <w:r>
              <w:rPr>
                <w:rFonts w:ascii="Arial" w:hAnsi="Arial"/>
                <w:color w:val="1E293B"/>
                <w:sz w:val="16"/>
              </w:rPr>
              <w:t>Company asset misuse</w:t>
            </w:r>
          </w:p>
        </w:tc>
        <w:tc>
          <w:tcPr>
            <w:tcW w:type="dxa" w:w="3120"/>
            <w:shd w:fill="FFFFFF"/>
          </w:tcPr>
          <w:p>
            <w:r>
              <w:rPr>
                <w:rFonts w:ascii="Arial" w:hAnsi="Arial"/>
                <w:color w:val="1E293B"/>
                <w:sz w:val="16"/>
              </w:rPr>
              <w:t>Report or escalate</w:t>
            </w:r>
          </w:p>
        </w:tc>
        <w:tc>
          <w:tcPr>
            <w:tcW w:type="dxa" w:w="3120"/>
            <w:shd w:fill="FFFFFF"/>
          </w:tcPr>
          <w:p>
            <w:r>
              <w:rPr>
                <w:rFonts w:ascii="Arial" w:hAnsi="Arial"/>
                <w:color w:val="1E293B"/>
                <w:sz w:val="16"/>
              </w:rPr>
              <w:t>Manager / IT / HR</w:t>
            </w:r>
          </w:p>
        </w:tc>
      </w:tr>
      <w:tr>
        <w:tc>
          <w:tcPr>
            <w:tcW w:type="dxa" w:w="3120"/>
            <w:shd w:fill="F8FAFC"/>
          </w:tcPr>
          <w:p>
            <w:r>
              <w:rPr>
                <w:rFonts w:ascii="Arial" w:hAnsi="Arial"/>
                <w:color w:val="1E293B"/>
                <w:sz w:val="16"/>
              </w:rPr>
              <w:t>Visitor policy violation</w:t>
            </w:r>
          </w:p>
        </w:tc>
        <w:tc>
          <w:tcPr>
            <w:tcW w:type="dxa" w:w="3120"/>
            <w:shd w:fill="F8FAFC"/>
          </w:tcPr>
          <w:p>
            <w:r>
              <w:rPr>
                <w:rFonts w:ascii="Arial" w:hAnsi="Arial"/>
                <w:color w:val="1E293B"/>
                <w:sz w:val="16"/>
              </w:rPr>
              <w:t>Report to Administration</w:t>
            </w:r>
          </w:p>
        </w:tc>
        <w:tc>
          <w:tcPr>
            <w:tcW w:type="dxa" w:w="3120"/>
            <w:shd w:fill="F8FAFC"/>
          </w:tcPr>
          <w:p>
            <w:r>
              <w:rPr>
                <w:rFonts w:ascii="Arial" w:hAnsi="Arial"/>
                <w:color w:val="1E293B"/>
                <w:sz w:val="16"/>
              </w:rPr>
              <w:t>Administration</w:t>
            </w:r>
          </w:p>
        </w:tc>
      </w:tr>
      <w:tr>
        <w:tc>
          <w:tcPr>
            <w:tcW w:type="dxa" w:w="3120"/>
            <w:shd w:fill="FFFFFF"/>
          </w:tcPr>
          <w:p>
            <w:r>
              <w:rPr>
                <w:rFonts w:ascii="Arial" w:hAnsi="Arial"/>
                <w:color w:val="1E293B"/>
                <w:sz w:val="16"/>
              </w:rPr>
              <w:t>Suspected security incident</w:t>
            </w:r>
          </w:p>
        </w:tc>
        <w:tc>
          <w:tcPr>
            <w:tcW w:type="dxa" w:w="3120"/>
            <w:shd w:fill="FFFFFF"/>
          </w:tcPr>
          <w:p>
            <w:r>
              <w:rPr>
                <w:rFonts w:ascii="Arial" w:hAnsi="Arial"/>
                <w:color w:val="1E293B"/>
                <w:sz w:val="16"/>
              </w:rPr>
              <w:t>Report immediately</w:t>
            </w:r>
          </w:p>
        </w:tc>
        <w:tc>
          <w:tcPr>
            <w:tcW w:type="dxa" w:w="3120"/>
            <w:shd w:fill="FFFFFF"/>
          </w:tcPr>
          <w:p>
            <w:r>
              <w:rPr>
                <w:rFonts w:ascii="Arial" w:hAnsi="Arial"/>
                <w:color w:val="1E293B"/>
                <w:sz w:val="16"/>
              </w:rPr>
              <w:t>Information Security / IT</w:t>
            </w:r>
          </w:p>
        </w:tc>
      </w:tr>
      <w:tr>
        <w:tc>
          <w:tcPr>
            <w:tcW w:type="dxa" w:w="3120"/>
            <w:shd w:fill="F8FAFC"/>
          </w:tcPr>
          <w:p>
            <w:r>
              <w:rPr>
                <w:rFonts w:ascii="Arial" w:hAnsi="Arial"/>
                <w:color w:val="1E293B"/>
                <w:sz w:val="16"/>
              </w:rPr>
              <w:t>Emergency medical situation</w:t>
            </w:r>
          </w:p>
        </w:tc>
        <w:tc>
          <w:tcPr>
            <w:tcW w:type="dxa" w:w="3120"/>
            <w:shd w:fill="F8FAFC"/>
          </w:tcPr>
          <w:p>
            <w:r>
              <w:rPr>
                <w:rFonts w:ascii="Arial" w:hAnsi="Arial"/>
                <w:color w:val="1E293B"/>
                <w:sz w:val="16"/>
              </w:rPr>
              <w:t>Contact facility management</w:t>
            </w:r>
          </w:p>
        </w:tc>
        <w:tc>
          <w:tcPr>
            <w:tcW w:type="dxa" w:w="3120"/>
            <w:shd w:fill="F8FAFC"/>
          </w:tcPr>
          <w:p>
            <w:r>
              <w:rPr>
                <w:rFonts w:ascii="Arial" w:hAnsi="Arial"/>
                <w:color w:val="1E293B"/>
                <w:sz w:val="16"/>
              </w:rPr>
              <w:t>Facility Manager</w:t>
            </w:r>
          </w:p>
        </w:tc>
      </w:tr>
      <w:tr>
        <w:tc>
          <w:tcPr>
            <w:tcW w:type="dxa" w:w="3120"/>
            <w:shd w:fill="FFFFFF"/>
          </w:tcPr>
          <w:p>
            <w:r>
              <w:rPr>
                <w:rFonts w:ascii="Arial" w:hAnsi="Arial"/>
                <w:color w:val="1E293B"/>
                <w:sz w:val="16"/>
              </w:rPr>
              <w:t>Fire or evacuation</w:t>
            </w:r>
          </w:p>
        </w:tc>
        <w:tc>
          <w:tcPr>
            <w:tcW w:type="dxa" w:w="3120"/>
            <w:shd w:fill="FFFFFF"/>
          </w:tcPr>
          <w:p>
            <w:r>
              <w:rPr>
                <w:rFonts w:ascii="Arial" w:hAnsi="Arial"/>
                <w:color w:val="1E293B"/>
                <w:sz w:val="16"/>
              </w:rPr>
              <w:t>Follow evacuation procedure</w:t>
            </w:r>
          </w:p>
        </w:tc>
        <w:tc>
          <w:tcPr>
            <w:tcW w:type="dxa" w:w="3120"/>
            <w:shd w:fill="FFFFFF"/>
          </w:tcPr>
          <w:p>
            <w:r>
              <w:rPr>
                <w:rFonts w:ascii="Arial" w:hAnsi="Arial"/>
                <w:color w:val="1E293B"/>
                <w:sz w:val="16"/>
              </w:rPr>
              <w:t>Facility / Security</w:t>
            </w:r>
          </w:p>
        </w:tc>
      </w:tr>
    </w:tbl>
    <w:p>
      <w:pPr>
        <w:keepNext/>
        <w:spacing w:before="320" w:after="120"/>
      </w:pPr>
      <w:r>
        <w:rPr>
          <w:rFonts w:ascii="Arial" w:hAnsi="Arial"/>
          <w:b/>
          <w:color w:val="0F172A"/>
          <w:sz w:val="24"/>
        </w:rPr>
        <w:t>8. Office Timings &amp; Hybrid Work Governance</w:t>
      </w:r>
    </w:p>
    <w:p>
      <w:pPr>
        <w:spacing w:before="0" w:after="100" w:line="276" w:lineRule="auto"/>
      </w:pPr>
      <w:r>
        <w:rPr>
          <w:rFonts w:ascii="Arial" w:hAnsi="Arial"/>
          <w:color w:val="1E293B"/>
          <w:sz w:val="19"/>
        </w:rPr>
        <w:t>Standard office hours are 9:30 AM to 6:30 PM (Monday–Friday) across all hubs. Core working hours are 10:30 AM to 4:30 PM, during which all personnel must remain reachable.</w:t>
      </w:r>
    </w:p>
    <w:p>
      <w:pPr>
        <w:keepNext/>
        <w:spacing w:before="240" w:after="80"/>
      </w:pPr>
      <w:r>
        <w:rPr>
          <w:rFonts w:ascii="Arial" w:hAnsi="Arial"/>
          <w:b/>
          <w:color w:val="0284C7"/>
          <w:sz w:val="20"/>
        </w:rPr>
        <w:t>8.1 Office Hours vs. Core Working Hours</w:t>
      </w:r>
    </w:p>
    <w:p>
      <w:pPr>
        <w:spacing w:before="0" w:after="100" w:line="276" w:lineRule="auto"/>
      </w:pPr>
      <w:r>
        <w:rPr>
          <w:rFonts w:ascii="Arial" w:hAnsi="Arial"/>
          <w:color w:val="1E293B"/>
          <w:sz w:val="19"/>
        </w:rPr>
        <w:t>Standard office hours define the normal operating schedule of Series Tech Limited offices.</w:t>
      </w:r>
    </w:p>
    <w:p>
      <w:pPr>
        <w:spacing w:before="0" w:after="100" w:line="276" w:lineRule="auto"/>
      </w:pPr>
      <w:r>
        <w:rPr>
          <w:rFonts w:ascii="Arial" w:hAnsi="Arial"/>
          <w:color w:val="1E293B"/>
          <w:sz w:val="19"/>
        </w:rPr>
        <w:t>Core working hours define the period during which employees are expected to remain reachable and available for collaboration.</w:t>
      </w:r>
    </w:p>
    <w:p>
      <w:pPr>
        <w:spacing w:before="0" w:after="100" w:line="276" w:lineRule="auto"/>
      </w:pPr>
      <w:r>
        <w:rPr>
          <w:rFonts w:ascii="Arial" w:hAnsi="Arial"/>
          <w:color w:val="1E293B"/>
          <w:sz w:val="19"/>
        </w:rPr>
        <w:t>Core working hours do not replace or modify the employee's assigned working hours, attendance requirements, shift schedules, or approved work arrangements.</w:t>
      </w:r>
    </w:p>
    <w:p>
      <w:pPr>
        <w:spacing w:before="0" w:after="100" w:line="276" w:lineRule="auto"/>
      </w:pPr>
      <w:r>
        <w:rPr>
          <w:rFonts w:ascii="Arial" w:hAnsi="Arial"/>
          <w:color w:val="1E293B"/>
          <w:sz w:val="19"/>
        </w:rPr>
        <w:t>Where a conflict exists, applicable HR attendance policies, shift schedules, employment terms, or approved work arrangements shall govern.</w:t>
      </w:r>
    </w:p>
    <w:p>
      <w:pPr>
        <w:spacing w:before="0" w:after="100" w:line="276" w:lineRule="auto"/>
      </w:pPr>
      <w:r>
        <w:rPr>
          <w:rFonts w:ascii="Arial" w:hAnsi="Arial"/>
          <w:b/>
          <w:color w:val="1E293B"/>
          <w:sz w:val="19"/>
        </w:rPr>
        <w:t xml:space="preserve">Hybrid Work Boundary: </w:t>
      </w:r>
      <w:r>
        <w:rPr>
          <w:rFonts w:ascii="Arial" w:hAnsi="Arial"/>
          <w:color w:val="1E293B"/>
          <w:sz w:val="19"/>
        </w:rPr>
        <w:t>Hybrid Work Governance: Series Tech Limited follows a structured hybrid working model. Employees may work from company offices or approved remote locations according to department-specific schedules and HR Policies v3.2. The Company Profile provides general information about the hybrid model. Detailed rules regarding WFH approval, attendance, remote check-in, core hours, international remote work, and permanent remote work are governed by HR Policies v3.2. Where a conflict exists between this document and HR Policies v3.2, HR Policies v3.2 shall govern.</w:t>
      </w:r>
    </w:p>
    <w:p>
      <w:pPr>
        <w:keepNext/>
        <w:spacing w:before="320" w:after="120"/>
      </w:pPr>
      <w:r>
        <w:rPr>
          <w:rFonts w:ascii="Arial" w:hAnsi="Arial"/>
          <w:b/>
          <w:color w:val="0F172A"/>
          <w:sz w:val="24"/>
        </w:rPr>
        <w:t>9. Communication, Dress Code &amp; Visitor Policy</w:t>
      </w:r>
    </w:p>
    <w:p>
      <w:pPr>
        <w:spacing w:before="0" w:after="100" w:line="276" w:lineRule="auto"/>
      </w:pPr>
      <w:r>
        <w:rPr>
          <w:rFonts w:ascii="Arial" w:hAnsi="Arial"/>
          <w:color w:val="1E293B"/>
          <w:sz w:val="19"/>
        </w:rPr>
        <w:t>Corporate emails must be responded to within 1 business day; Slack/Teams IMs within 2–3 hours during core hours. Smart-casual attire is standard on regular working days; business formal for client meetings. All visitors must register at reception, obtain a visitor badge, and be escorted at all times. Visitors are strictly prohibited from entering restricted areas such as server rooms or SOCs.</w:t>
      </w:r>
    </w:p>
    <w:p>
      <w:pPr>
        <w:keepNext/>
        <w:spacing w:before="320" w:after="120"/>
      </w:pPr>
      <w:r>
        <w:rPr>
          <w:rFonts w:ascii="Arial" w:hAnsi="Arial"/>
          <w:b/>
          <w:color w:val="0F172A"/>
          <w:sz w:val="24"/>
        </w:rPr>
        <w:t>10. Emergency Response Matrix</w:t>
      </w:r>
    </w:p>
    <w:tbl>
      <w:tblPr>
        <w:tblW w:type="auto" w:w="0"/>
        <w:jc w:val="center"/>
        <w:tblLook w:firstColumn="1" w:firstRow="1" w:lastColumn="0" w:lastRow="0" w:noHBand="0" w:noVBand="1" w:val="04A0"/>
      </w:tblPr>
      <w:tblGrid>
        <w:gridCol w:w="3120"/>
        <w:gridCol w:w="3120"/>
        <w:gridCol w:w="3120"/>
      </w:tblGrid>
      <w:tr>
        <w:tc>
          <w:tcPr>
            <w:tcW w:type="dxa" w:w="3120"/>
            <w:shd w:fill="0F172A"/>
          </w:tcPr>
          <w:p>
            <w:r>
              <w:rPr>
                <w:rFonts w:ascii="Arial" w:hAnsi="Arial"/>
                <w:b/>
                <w:color w:val="FFFFFF"/>
                <w:sz w:val="17"/>
              </w:rPr>
              <w:t>Emergency Category</w:t>
            </w:r>
          </w:p>
        </w:tc>
        <w:tc>
          <w:tcPr>
            <w:tcW w:type="dxa" w:w="3120"/>
            <w:shd w:fill="0F172A"/>
          </w:tcPr>
          <w:p>
            <w:r>
              <w:rPr>
                <w:rFonts w:ascii="Arial" w:hAnsi="Arial"/>
                <w:b/>
                <w:color w:val="FFFFFF"/>
                <w:sz w:val="17"/>
              </w:rPr>
              <w:t>Immediate Action Required</w:t>
            </w:r>
          </w:p>
        </w:tc>
        <w:tc>
          <w:tcPr>
            <w:tcW w:type="dxa" w:w="3120"/>
            <w:shd w:fill="0F172A"/>
          </w:tcPr>
          <w:p>
            <w:r>
              <w:rPr>
                <w:rFonts w:ascii="Arial" w:hAnsi="Arial"/>
                <w:b/>
                <w:color w:val="FFFFFF"/>
                <w:sz w:val="17"/>
              </w:rPr>
              <w:t>Primary Contact</w:t>
            </w:r>
          </w:p>
        </w:tc>
      </w:tr>
      <w:tr>
        <w:tc>
          <w:tcPr>
            <w:tcW w:type="dxa" w:w="3120"/>
            <w:shd w:fill="F8FAFC"/>
          </w:tcPr>
          <w:p>
            <w:r>
              <w:rPr>
                <w:rFonts w:ascii="Arial" w:hAnsi="Arial"/>
                <w:color w:val="1E293B"/>
                <w:sz w:val="16"/>
              </w:rPr>
              <w:t>Medical Emergency</w:t>
            </w:r>
          </w:p>
        </w:tc>
        <w:tc>
          <w:tcPr>
            <w:tcW w:type="dxa" w:w="3120"/>
            <w:shd w:fill="F8FAFC"/>
          </w:tcPr>
          <w:p>
            <w:r>
              <w:rPr>
                <w:rFonts w:ascii="Arial" w:hAnsi="Arial"/>
                <w:color w:val="1E293B"/>
                <w:sz w:val="16"/>
              </w:rPr>
              <w:t>Seek immediate medical assistance</w:t>
            </w:r>
          </w:p>
        </w:tc>
        <w:tc>
          <w:tcPr>
            <w:tcW w:type="dxa" w:w="3120"/>
            <w:shd w:fill="F8FAFC"/>
          </w:tcPr>
          <w:p>
            <w:r>
              <w:rPr>
                <w:rFonts w:ascii="Arial" w:hAnsi="Arial"/>
                <w:color w:val="1E293B"/>
                <w:sz w:val="16"/>
              </w:rPr>
              <w:t>Facility Manager / Local Emergency Services</w:t>
            </w:r>
          </w:p>
        </w:tc>
      </w:tr>
      <w:tr>
        <w:tc>
          <w:tcPr>
            <w:tcW w:type="dxa" w:w="3120"/>
            <w:shd w:fill="FFFFFF"/>
          </w:tcPr>
          <w:p>
            <w:r>
              <w:rPr>
                <w:rFonts w:ascii="Arial" w:hAnsi="Arial"/>
                <w:color w:val="1E293B"/>
                <w:sz w:val="16"/>
              </w:rPr>
              <w:t>Fire / Evacuation</w:t>
            </w:r>
          </w:p>
        </w:tc>
        <w:tc>
          <w:tcPr>
            <w:tcW w:type="dxa" w:w="3120"/>
            <w:shd w:fill="FFFFFF"/>
          </w:tcPr>
          <w:p>
            <w:r>
              <w:rPr>
                <w:rFonts w:ascii="Arial" w:hAnsi="Arial"/>
                <w:color w:val="1E293B"/>
                <w:sz w:val="16"/>
              </w:rPr>
              <w:t>Evacuate using marked routes to assembly point</w:t>
            </w:r>
          </w:p>
        </w:tc>
        <w:tc>
          <w:tcPr>
            <w:tcW w:type="dxa" w:w="3120"/>
            <w:shd w:fill="FFFFFF"/>
          </w:tcPr>
          <w:p>
            <w:r>
              <w:rPr>
                <w:rFonts w:ascii="Arial" w:hAnsi="Arial"/>
                <w:color w:val="1E293B"/>
                <w:sz w:val="16"/>
              </w:rPr>
              <w:t>Security / Facility Management</w:t>
            </w:r>
          </w:p>
        </w:tc>
      </w:tr>
      <w:tr>
        <w:tc>
          <w:tcPr>
            <w:tcW w:type="dxa" w:w="3120"/>
            <w:shd w:fill="F8FAFC"/>
          </w:tcPr>
          <w:p>
            <w:r>
              <w:rPr>
                <w:rFonts w:ascii="Arial" w:hAnsi="Arial"/>
                <w:color w:val="1E293B"/>
                <w:sz w:val="16"/>
              </w:rPr>
              <w:t>Security Threat</w:t>
            </w:r>
          </w:p>
        </w:tc>
        <w:tc>
          <w:tcPr>
            <w:tcW w:type="dxa" w:w="3120"/>
            <w:shd w:fill="F8FAFC"/>
          </w:tcPr>
          <w:p>
            <w:r>
              <w:rPr>
                <w:rFonts w:ascii="Arial" w:hAnsi="Arial"/>
                <w:color w:val="1E293B"/>
                <w:sz w:val="16"/>
              </w:rPr>
              <w:t>Move to a safe location and report</w:t>
            </w:r>
          </w:p>
        </w:tc>
        <w:tc>
          <w:tcPr>
            <w:tcW w:type="dxa" w:w="3120"/>
            <w:shd w:fill="F8FAFC"/>
          </w:tcPr>
          <w:p>
            <w:r>
              <w:rPr>
                <w:rFonts w:ascii="Arial" w:hAnsi="Arial"/>
                <w:color w:val="1E293B"/>
                <w:sz w:val="16"/>
              </w:rPr>
              <w:t>Security Desk</w:t>
            </w:r>
          </w:p>
        </w:tc>
      </w:tr>
      <w:tr>
        <w:tc>
          <w:tcPr>
            <w:tcW w:type="dxa" w:w="3120"/>
            <w:shd w:fill="FFFFFF"/>
          </w:tcPr>
          <w:p>
            <w:r>
              <w:rPr>
                <w:rFonts w:ascii="Arial" w:hAnsi="Arial"/>
                <w:color w:val="1E293B"/>
                <w:sz w:val="16"/>
              </w:rPr>
              <w:t>IT Outage</w:t>
            </w:r>
          </w:p>
        </w:tc>
        <w:tc>
          <w:tcPr>
            <w:tcW w:type="dxa" w:w="3120"/>
            <w:shd w:fill="FFFFFF"/>
          </w:tcPr>
          <w:p>
            <w:r>
              <w:rPr>
                <w:rFonts w:ascii="Arial" w:hAnsi="Arial"/>
                <w:color w:val="1E293B"/>
                <w:sz w:val="16"/>
              </w:rPr>
              <w:t>Report ticket through IT Support portal</w:t>
            </w:r>
          </w:p>
        </w:tc>
        <w:tc>
          <w:tcPr>
            <w:tcW w:type="dxa" w:w="3120"/>
            <w:shd w:fill="FFFFFF"/>
          </w:tcPr>
          <w:p>
            <w:r>
              <w:rPr>
                <w:rFonts w:ascii="Arial" w:hAnsi="Arial"/>
                <w:color w:val="1E293B"/>
                <w:sz w:val="16"/>
              </w:rPr>
              <w:t>IT Helpdesk</w:t>
            </w:r>
          </w:p>
        </w:tc>
      </w:tr>
      <w:tr>
        <w:tc>
          <w:tcPr>
            <w:tcW w:type="dxa" w:w="3120"/>
            <w:shd w:fill="F8FAFC"/>
          </w:tcPr>
          <w:p>
            <w:r>
              <w:rPr>
                <w:rFonts w:ascii="Arial" w:hAnsi="Arial"/>
                <w:color w:val="1E293B"/>
                <w:sz w:val="16"/>
              </w:rPr>
              <w:t>Cybersecurity Incident</w:t>
            </w:r>
          </w:p>
        </w:tc>
        <w:tc>
          <w:tcPr>
            <w:tcW w:type="dxa" w:w="3120"/>
            <w:shd w:fill="F8FAFC"/>
          </w:tcPr>
          <w:p>
            <w:r>
              <w:rPr>
                <w:rFonts w:ascii="Arial" w:hAnsi="Arial"/>
                <w:color w:val="1E293B"/>
                <w:sz w:val="16"/>
              </w:rPr>
              <w:t>Report immediately</w:t>
            </w:r>
          </w:p>
        </w:tc>
        <w:tc>
          <w:tcPr>
            <w:tcW w:type="dxa" w:w="3120"/>
            <w:shd w:fill="F8FAFC"/>
          </w:tcPr>
          <w:p>
            <w:r>
              <w:rPr>
                <w:rFonts w:ascii="Arial" w:hAnsi="Arial"/>
                <w:color w:val="1E293B"/>
                <w:sz w:val="16"/>
              </w:rPr>
              <w:t>Information Security / IT</w:t>
            </w:r>
          </w:p>
        </w:tc>
      </w:tr>
      <w:tr>
        <w:tc>
          <w:tcPr>
            <w:tcW w:type="dxa" w:w="3120"/>
            <w:shd w:fill="FFFFFF"/>
          </w:tcPr>
          <w:p>
            <w:r>
              <w:rPr>
                <w:rFonts w:ascii="Arial" w:hAnsi="Arial"/>
                <w:color w:val="1E293B"/>
                <w:sz w:val="16"/>
              </w:rPr>
              <w:t>Workplace Violence</w:t>
            </w:r>
          </w:p>
        </w:tc>
        <w:tc>
          <w:tcPr>
            <w:tcW w:type="dxa" w:w="3120"/>
            <w:shd w:fill="FFFFFF"/>
          </w:tcPr>
          <w:p>
            <w:r>
              <w:rPr>
                <w:rFonts w:ascii="Arial" w:hAnsi="Arial"/>
                <w:color w:val="1E293B"/>
                <w:sz w:val="16"/>
              </w:rPr>
              <w:t>Move to safety and report</w:t>
            </w:r>
          </w:p>
        </w:tc>
        <w:tc>
          <w:tcPr>
            <w:tcW w:type="dxa" w:w="3120"/>
            <w:shd w:fill="FFFFFF"/>
          </w:tcPr>
          <w:p>
            <w:r>
              <w:rPr>
                <w:rFonts w:ascii="Arial" w:hAnsi="Arial"/>
                <w:color w:val="1E293B"/>
                <w:sz w:val="16"/>
              </w:rPr>
              <w:t>Security / HR</w:t>
            </w:r>
          </w:p>
        </w:tc>
      </w:tr>
      <w:tr>
        <w:tc>
          <w:tcPr>
            <w:tcW w:type="dxa" w:w="3120"/>
            <w:shd w:fill="F8FAFC"/>
          </w:tcPr>
          <w:p>
            <w:r>
              <w:rPr>
                <w:rFonts w:ascii="Arial" w:hAnsi="Arial"/>
                <w:color w:val="1E293B"/>
                <w:sz w:val="16"/>
              </w:rPr>
              <w:t>Building Evacuation</w:t>
            </w:r>
          </w:p>
        </w:tc>
        <w:tc>
          <w:tcPr>
            <w:tcW w:type="dxa" w:w="3120"/>
            <w:shd w:fill="F8FAFC"/>
          </w:tcPr>
          <w:p>
            <w:r>
              <w:rPr>
                <w:rFonts w:ascii="Arial" w:hAnsi="Arial"/>
                <w:color w:val="1E293B"/>
                <w:sz w:val="16"/>
              </w:rPr>
              <w:t>Follow facility evacuation instructions</w:t>
            </w:r>
          </w:p>
        </w:tc>
        <w:tc>
          <w:tcPr>
            <w:tcW w:type="dxa" w:w="3120"/>
            <w:shd w:fill="F8FAFC"/>
          </w:tcPr>
          <w:p>
            <w:r>
              <w:rPr>
                <w:rFonts w:ascii="Arial" w:hAnsi="Arial"/>
                <w:color w:val="1E293B"/>
                <w:sz w:val="16"/>
              </w:rPr>
              <w:t>Facility Management</w:t>
            </w:r>
          </w:p>
        </w:tc>
      </w:tr>
    </w:tbl>
    <w:p>
      <w:pPr>
        <w:keepNext/>
        <w:spacing w:before="240" w:after="80"/>
      </w:pPr>
      <w:r>
        <w:rPr>
          <w:rFonts w:ascii="Arial" w:hAnsi="Arial"/>
          <w:b/>
          <w:color w:val="0284C7"/>
          <w:sz w:val="20"/>
        </w:rPr>
        <w:t>10.1 Emergency Response Disclaimer</w:t>
      </w:r>
    </w:p>
    <w:p>
      <w:pPr>
        <w:spacing w:before="0" w:after="100" w:line="276" w:lineRule="auto"/>
      </w:pPr>
      <w:r>
        <w:rPr>
          <w:rFonts w:ascii="Arial" w:hAnsi="Arial"/>
          <w:color w:val="1E293B"/>
          <w:sz w:val="19"/>
        </w:rPr>
        <w:t>Emergency procedures described in this document provide general company guidance and do not replace local emergency services or building-specific emergency procedures. In an immediate life-threatening emergency, employees should contact appropriate local emergency services first and then notify the relevant Series Tech Limited facility, security, or HR contact as soon as reasonably possible. Emergency contact numbers and building-specific evacuation instructions may vary by office location and are maintained locally by Administration and Facility Management teams.</w:t>
      </w:r>
    </w:p>
    <w:p>
      <w:pPr>
        <w:keepNext/>
        <w:spacing w:before="240" w:after="80"/>
      </w:pPr>
      <w:r>
        <w:rPr>
          <w:rFonts w:ascii="Arial" w:hAnsi="Arial"/>
          <w:b/>
          <w:color w:val="0284C7"/>
          <w:sz w:val="20"/>
        </w:rPr>
        <w:t>10.2 Location-Specific Emergency Contacts</w:t>
      </w:r>
    </w:p>
    <w:p>
      <w:pPr>
        <w:spacing w:before="0" w:after="100" w:line="276" w:lineRule="auto"/>
      </w:pPr>
      <w:r>
        <w:rPr>
          <w:rFonts w:ascii="Arial" w:hAnsi="Arial"/>
          <w:color w:val="1E293B"/>
          <w:sz w:val="19"/>
        </w:rPr>
        <w:t>Emergency contact names, telephone numbers, security desk numbers, facility manager details, evacuation assembly points, and building-specific emergency procedures are maintained separately for each Series Tech Limited office. Employees must refer to the latest location-specific emergency contact display or official emergency directory for current contact information. The Company Profile does not replace location-specific emergency instructions.</w:t>
      </w:r>
    </w:p>
    <w:p>
      <w:pPr>
        <w:keepNext/>
        <w:spacing w:before="320" w:after="120"/>
      </w:pPr>
      <w:r>
        <w:rPr>
          <w:rFonts w:ascii="Arial" w:hAnsi="Arial"/>
          <w:b/>
          <w:color w:val="0F172A"/>
          <w:sz w:val="24"/>
        </w:rPr>
        <w:t>11. Company Profile Governance Workflow</w:t>
      </w:r>
    </w:p>
    <w:p>
      <w:pPr>
        <w:spacing w:before="0" w:after="100" w:line="276" w:lineRule="auto"/>
      </w:pPr>
      <w:r>
        <w:rPr>
          <w:rFonts w:ascii="Arial" w:hAnsi="Arial"/>
          <w:color w:val="1E293B"/>
          <w:sz w:val="19"/>
        </w:rPr>
        <w:t>Major Updates Workflow: Organizational Change Identified → HR Documentation Team Updates Draft → Affected Department Head Reviews → HR Department Reviews → COO Approval → Document Version Updated → Company Learning Portal Published → Employees Notified → Previous Version Archived.</w:t>
      </w:r>
    </w:p>
    <w:p>
      <w:pPr>
        <w:spacing w:before="0" w:after="100" w:line="276" w:lineRule="auto"/>
      </w:pPr>
      <w:r>
        <w:rPr>
          <w:rFonts w:ascii="Arial" w:hAnsi="Arial"/>
          <w:color w:val="1E293B"/>
          <w:sz w:val="19"/>
        </w:rPr>
        <w:t>Minor Corrections Workflow: Minor Correction Identified → HR Department Reviews → HR Department Head Approves → Document Updated → Updated Version Published.</w:t>
      </w:r>
    </w:p>
    <w:p>
      <w:pPr>
        <w:keepNext/>
        <w:spacing w:before="320" w:after="120"/>
      </w:pPr>
      <w:r>
        <w:rPr>
          <w:rFonts w:ascii="Arial" w:hAnsi="Arial"/>
          <w:b/>
          <w:color w:val="0F172A"/>
          <w:sz w:val="24"/>
        </w:rPr>
        <w:t>12. Policy Precedence &amp; Exceptions</w:t>
      </w:r>
    </w:p>
    <w:p>
      <w:pPr>
        <w:spacing w:before="0" w:after="100" w:line="276" w:lineRule="auto"/>
      </w:pPr>
      <w:r>
        <w:rPr>
          <w:rFonts w:ascii="Arial" w:hAnsi="Arial"/>
          <w:color w:val="1E293B"/>
          <w:sz w:val="19"/>
        </w:rPr>
        <w:t>This Company Profile is the authoritative source for general company information, organizational structure, branch office functions, core values, and general workplace expectations.</w:t>
      </w:r>
    </w:p>
    <w:p>
      <w:pPr>
        <w:spacing w:before="0" w:after="100" w:line="276" w:lineRule="auto"/>
      </w:pPr>
      <w:r>
        <w:rPr>
          <w:rFonts w:ascii="Arial" w:hAnsi="Arial"/>
          <w:color w:val="1E293B"/>
          <w:sz w:val="19"/>
        </w:rPr>
        <w:t>Detailed employee lifecycle matters are governed by the Employee Lifecycle Handbook v2.0.</w:t>
      </w:r>
    </w:p>
    <w:p>
      <w:pPr>
        <w:spacing w:before="0" w:after="100" w:line="276" w:lineRule="auto"/>
      </w:pPr>
      <w:r>
        <w:rPr>
          <w:rFonts w:ascii="Arial" w:hAnsi="Arial"/>
          <w:color w:val="1E293B"/>
          <w:sz w:val="19"/>
        </w:rPr>
        <w:t>Leave, attendance, WFH, hybrid work, and parental leave matters are governed by HR Policies v3.2.</w:t>
      </w:r>
    </w:p>
    <w:p>
      <w:pPr>
        <w:spacing w:before="0" w:after="100" w:line="276" w:lineRule="auto"/>
      </w:pPr>
      <w:r>
        <w:rPr>
          <w:rFonts w:ascii="Arial" w:hAnsi="Arial"/>
          <w:color w:val="1E293B"/>
          <w:sz w:val="19"/>
        </w:rPr>
        <w:t>Payroll, salary, reimbursements, and Full-and-Final settlement matters are governed by Payroll &amp; Finance Policy v5.0.</w:t>
      </w:r>
    </w:p>
    <w:p>
      <w:pPr>
        <w:spacing w:before="0" w:after="100" w:line="276" w:lineRule="auto"/>
      </w:pPr>
      <w:r>
        <w:rPr>
          <w:rFonts w:ascii="Arial" w:hAnsi="Arial"/>
          <w:color w:val="1E293B"/>
          <w:sz w:val="19"/>
        </w:rPr>
        <w:t>IT access, cybersecurity, and technology security matters are governed by IT and Information Security policies.</w:t>
      </w:r>
    </w:p>
    <w:p>
      <w:pPr>
        <w:spacing w:before="0" w:after="100" w:line="276" w:lineRule="auto"/>
      </w:pPr>
      <w:r>
        <w:rPr>
          <w:rFonts w:ascii="Arial" w:hAnsi="Arial"/>
          <w:color w:val="1E293B"/>
          <w:sz w:val="19"/>
        </w:rPr>
        <w:t>Employee equipment and asset return matters are governed by the Employee Assets Policy.</w:t>
      </w:r>
    </w:p>
    <w:p>
      <w:pPr>
        <w:spacing w:before="0" w:after="100" w:line="276" w:lineRule="auto"/>
      </w:pPr>
      <w:r>
        <w:rPr>
          <w:rFonts w:ascii="Arial" w:hAnsi="Arial"/>
          <w:color w:val="1E293B"/>
          <w:sz w:val="19"/>
        </w:rPr>
        <w:t>Business travel and expense matters are governed by the Travel &amp; Expense Policy.</w:t>
      </w:r>
    </w:p>
    <w:p>
      <w:pPr>
        <w:spacing w:before="0" w:after="100" w:line="276" w:lineRule="auto"/>
      </w:pPr>
      <w:r>
        <w:rPr>
          <w:rFonts w:ascii="Arial" w:hAnsi="Arial"/>
          <w:color w:val="1E293B"/>
          <w:sz w:val="19"/>
        </w:rPr>
        <w:t>Employee benefit eligibility is governed by the Employee Benefits Policy.</w:t>
      </w:r>
    </w:p>
    <w:p>
      <w:pPr>
        <w:spacing w:before="0" w:after="100" w:line="276" w:lineRule="auto"/>
      </w:pPr>
      <w:r>
        <w:rPr>
          <w:rFonts w:ascii="Arial" w:hAnsi="Arial"/>
          <w:color w:val="1E293B"/>
          <w:sz w:val="19"/>
        </w:rPr>
        <w:t>If a conflict exists between this document and a detailed policy governing a specific subject, the detailed subject-specific policy shall take precedence, subject to applicable law. The latest approved version of each policy supersedes previous versions.</w:t>
      </w:r>
    </w:p>
    <w:p>
      <w:pPr>
        <w:keepNext/>
        <w:spacing w:before="240" w:after="80"/>
      </w:pPr>
      <w:r>
        <w:rPr>
          <w:rFonts w:ascii="Arial" w:hAnsi="Arial"/>
          <w:b/>
          <w:color w:val="0284C7"/>
          <w:sz w:val="20"/>
        </w:rPr>
        <w:t>12.1 Knowledge Base Source Priority</w:t>
      </w:r>
    </w:p>
    <w:p>
      <w:pPr>
        <w:spacing w:before="0" w:after="100" w:line="276" w:lineRule="auto"/>
      </w:pPr>
      <w:r>
        <w:rPr>
          <w:rFonts w:ascii="Arial" w:hAnsi="Arial"/>
          <w:color w:val="1E293B"/>
          <w:sz w:val="19"/>
        </w:rPr>
        <w:t>For questions requiring policy-specific or operational guidance, RAGLink should prioritize the latest approved subject-specific policy over this general Company Profile.</w:t>
      </w:r>
    </w:p>
    <w:p>
      <w:pPr>
        <w:spacing w:before="0" w:after="100" w:line="276" w:lineRule="auto"/>
      </w:pPr>
      <w:r>
        <w:rPr>
          <w:rFonts w:ascii="Arial" w:hAnsi="Arial"/>
          <w:color w:val="1E293B"/>
          <w:sz w:val="19"/>
        </w:rPr>
        <w:t>Recommended source priority: (1) Applicable statutory/legal requirement, (2) Latest approved subject-specific company policy, (3) Employee Lifecycle Handbook v2.0, (4) HR Policies v3.2, (5) Payroll &amp; Finance Policy v5.0, (6) IT &amp; InfoSec Policies, (7) Employee Assets Policy, (8) Travel &amp; Expense Policy, (9) Employee Benefits Policy, (10) Company Profile v2.1. If two documents appear to conflict, the latest approved subject-specific policy should be treated as authoritative, subject to applicable law.</w:t>
      </w:r>
    </w:p>
    <w:p>
      <w:pPr>
        <w:keepNext/>
        <w:spacing w:before="240" w:after="80"/>
      </w:pPr>
      <w:r>
        <w:rPr>
          <w:rFonts w:ascii="Arial" w:hAnsi="Arial"/>
          <w:b/>
          <w:color w:val="0284C7"/>
          <w:sz w:val="20"/>
        </w:rPr>
        <w:t>12.2 Scope Boundary</w:t>
      </w:r>
    </w:p>
    <w:p>
      <w:pPr>
        <w:spacing w:before="0" w:after="100" w:line="276" w:lineRule="auto"/>
      </w:pPr>
      <w:r>
        <w:rPr>
          <w:rFonts w:ascii="Arial" w:hAnsi="Arial"/>
          <w:color w:val="1E293B"/>
          <w:sz w:val="19"/>
        </w:rPr>
        <w:t>The Company Profile does not independently govern: detailed leave eligibility/approval, attendance regularization, WFH approval procedures, employee probation/confirmation decisions, promotion eligibility/approvals, resignation/notice period calculations, internal transfer eligibility/approvals, payroll processing/salary calculations, FnF settlement calculations, employee benefit eligibility, IT access provisioning/cybersecurity controls, company asset issuance/return procedures, or business travel approval/reimbursements. These matters are governed by their respective subject-specific policies.</w:t>
      </w:r>
    </w:p>
    <w:p>
      <w:pPr>
        <w:keepNext/>
        <w:spacing w:before="320" w:after="120"/>
      </w:pPr>
      <w:r>
        <w:rPr>
          <w:rFonts w:ascii="Arial" w:hAnsi="Arial"/>
          <w:b/>
          <w:color w:val="0F172A"/>
          <w:sz w:val="24"/>
        </w:rPr>
        <w:t>13. Frequently Asked Questions (Exactly 50 FAQs)</w:t>
      </w:r>
    </w:p>
    <w:p>
      <w:pPr>
        <w:spacing w:before="0" w:after="100" w:line="276" w:lineRule="auto"/>
      </w:pPr>
      <w:r>
        <w:rPr>
          <w:rFonts w:ascii="Arial" w:hAnsi="Arial"/>
          <w:color w:val="1E293B"/>
          <w:sz w:val="19"/>
        </w:rPr>
        <w:t>1. Where is the head office of Series Tech Limited located? In Hyderabad, Telangana, India.</w:t>
      </w:r>
    </w:p>
    <w:p>
      <w:pPr>
        <w:spacing w:before="0" w:after="100" w:line="276" w:lineRule="auto"/>
      </w:pPr>
      <w:r>
        <w:rPr>
          <w:rFonts w:ascii="Arial" w:hAnsi="Arial"/>
          <w:color w:val="1E293B"/>
          <w:sz w:val="19"/>
        </w:rPr>
        <w:t>2. Which cities have Series Tech Limited branch offices? Bangalore, Pune, Chennai, and Mumbai.</w:t>
      </w:r>
    </w:p>
    <w:p>
      <w:pPr>
        <w:spacing w:before="0" w:after="100" w:line="276" w:lineRule="auto"/>
      </w:pPr>
      <w:r>
        <w:rPr>
          <w:rFonts w:ascii="Arial" w:hAnsi="Arial"/>
          <w:color w:val="1E293B"/>
          <w:sz w:val="19"/>
        </w:rPr>
        <w:t>3. How many employees does Series Tech Limited have? Approximately 4,500 employees across all locations.</w:t>
      </w:r>
    </w:p>
    <w:p>
      <w:pPr>
        <w:spacing w:before="0" w:after="100" w:line="276" w:lineRule="auto"/>
      </w:pPr>
      <w:r>
        <w:rPr>
          <w:rFonts w:ascii="Arial" w:hAnsi="Arial"/>
          <w:color w:val="1E293B"/>
          <w:sz w:val="19"/>
        </w:rPr>
        <w:t>4. What working model does Series Tech Limited follow? A hybrid working model combining in-office collaboration and remote flexibility.</w:t>
      </w:r>
    </w:p>
    <w:p>
      <w:pPr>
        <w:spacing w:before="0" w:after="100" w:line="276" w:lineRule="auto"/>
      </w:pPr>
      <w:r>
        <w:rPr>
          <w:rFonts w:ascii="Arial" w:hAnsi="Arial"/>
          <w:color w:val="1E293B"/>
          <w:sz w:val="19"/>
        </w:rPr>
        <w:t>5. What are the standard office timings at Series Tech Limited? 9:30 AM to 6:30 PM, Monday through Friday.</w:t>
      </w:r>
    </w:p>
    <w:p>
      <w:pPr>
        <w:spacing w:before="0" w:after="100" w:line="276" w:lineRule="auto"/>
      </w:pPr>
      <w:r>
        <w:rPr>
          <w:rFonts w:ascii="Arial" w:hAnsi="Arial"/>
          <w:color w:val="1E293B"/>
          <w:sz w:val="19"/>
        </w:rPr>
        <w:t>6. What industries does Series Tech Limited operate in? Banking, healthcare, retail, logistics, manufacturing, and IT services.</w:t>
      </w:r>
    </w:p>
    <w:p>
      <w:pPr>
        <w:spacing w:before="0" w:after="100" w:line="276" w:lineRule="auto"/>
      </w:pPr>
      <w:r>
        <w:rPr>
          <w:rFonts w:ascii="Arial" w:hAnsi="Arial"/>
          <w:color w:val="1E293B"/>
          <w:sz w:val="19"/>
        </w:rPr>
        <w:t>7. What are the core values of Series Tech Limited? Integrity, Ownership, Innovation, Customer Focus, and Respect.</w:t>
      </w:r>
    </w:p>
    <w:p>
      <w:pPr>
        <w:spacing w:before="0" w:after="100" w:line="276" w:lineRule="auto"/>
      </w:pPr>
      <w:r>
        <w:rPr>
          <w:rFonts w:ascii="Arial" w:hAnsi="Arial"/>
          <w:color w:val="1E293B"/>
          <w:sz w:val="19"/>
        </w:rPr>
        <w:t>8. Who approves updates to the company profile document? Major updates are approved by the COO; minor factual corrections are approved by Head of HR.</w:t>
      </w:r>
    </w:p>
    <w:p>
      <w:pPr>
        <w:spacing w:before="0" w:after="100" w:line="276" w:lineRule="auto"/>
      </w:pPr>
      <w:r>
        <w:rPr>
          <w:rFonts w:ascii="Arial" w:hAnsi="Arial"/>
          <w:color w:val="1E293B"/>
          <w:sz w:val="19"/>
        </w:rPr>
        <w:t>9. What is the dress code at Series Tech Limited? Smart-casual on regular days; business formal for client meetings.</w:t>
      </w:r>
    </w:p>
    <w:p>
      <w:pPr>
        <w:spacing w:before="0" w:after="100" w:line="276" w:lineRule="auto"/>
      </w:pPr>
      <w:r>
        <w:rPr>
          <w:rFonts w:ascii="Arial" w:hAnsi="Arial"/>
          <w:color w:val="1E293B"/>
          <w:sz w:val="19"/>
        </w:rPr>
        <w:t>10. How do I register a visitor at a Series Tech Limited office? Register at reception and obtain a visitor badge before entering office floors.</w:t>
      </w:r>
    </w:p>
    <w:p>
      <w:pPr>
        <w:spacing w:before="0" w:after="100" w:line="276" w:lineRule="auto"/>
      </w:pPr>
      <w:r>
        <w:rPr>
          <w:rFonts w:ascii="Arial" w:hAnsi="Arial"/>
          <w:color w:val="1E293B"/>
          <w:sz w:val="19"/>
        </w:rPr>
        <w:t>11. Who do I contact in a medical emergency? Contact the local office facility manager immediately.</w:t>
      </w:r>
    </w:p>
    <w:p>
      <w:pPr>
        <w:spacing w:before="0" w:after="100" w:line="276" w:lineRule="auto"/>
      </w:pPr>
      <w:r>
        <w:rPr>
          <w:rFonts w:ascii="Arial" w:hAnsi="Arial"/>
          <w:color w:val="1E293B"/>
          <w:sz w:val="19"/>
        </w:rPr>
        <w:t>12. Who do I contact for a security concern? Contact the security desk near reception.</w:t>
      </w:r>
    </w:p>
    <w:p>
      <w:pPr>
        <w:spacing w:before="0" w:after="100" w:line="276" w:lineRule="auto"/>
      </w:pPr>
      <w:r>
        <w:rPr>
          <w:rFonts w:ascii="Arial" w:hAnsi="Arial"/>
          <w:color w:val="1E293B"/>
          <w:sz w:val="19"/>
        </w:rPr>
        <w:t>13. Who do I contact for a technology outage? Contact the IT Support helpdesk portal.</w:t>
      </w:r>
    </w:p>
    <w:p>
      <w:pPr>
        <w:spacing w:before="0" w:after="100" w:line="276" w:lineRule="auto"/>
      </w:pPr>
      <w:r>
        <w:rPr>
          <w:rFonts w:ascii="Arial" w:hAnsi="Arial"/>
          <w:color w:val="1E293B"/>
          <w:sz w:val="19"/>
        </w:rPr>
        <w:t>14. What should I do if I find outdated information in this document? Report it to Human Resources through the internal HR ticketing system.</w:t>
      </w:r>
    </w:p>
    <w:p>
      <w:pPr>
        <w:spacing w:before="0" w:after="100" w:line="276" w:lineRule="auto"/>
      </w:pPr>
      <w:r>
        <w:rPr>
          <w:rFonts w:ascii="Arial" w:hAnsi="Arial"/>
          <w:color w:val="1E293B"/>
          <w:sz w:val="19"/>
        </w:rPr>
        <w:t>15. Can interns access this document? Yes, interns receive this document during Day 1 onboarding.</w:t>
      </w:r>
    </w:p>
    <w:p>
      <w:pPr>
        <w:spacing w:before="0" w:after="100" w:line="276" w:lineRule="auto"/>
      </w:pPr>
      <w:r>
        <w:rPr>
          <w:rFonts w:ascii="Arial" w:hAnsi="Arial"/>
          <w:color w:val="1E293B"/>
          <w:sz w:val="19"/>
        </w:rPr>
        <w:t>16. Can contractors access this document? Yes, contractors receive relevant profile and code of conduct excerpts.</w:t>
      </w:r>
    </w:p>
    <w:p>
      <w:pPr>
        <w:spacing w:before="0" w:after="100" w:line="276" w:lineRule="auto"/>
      </w:pPr>
      <w:r>
        <w:rPr>
          <w:rFonts w:ascii="Arial" w:hAnsi="Arial"/>
          <w:color w:val="1E293B"/>
          <w:sz w:val="19"/>
        </w:rPr>
        <w:t>17. What happens if an employee violates the code of conduct? Handled via formal disciplinary escalation (verbal warning, written warning, suspension, or termination).</w:t>
      </w:r>
    </w:p>
    <w:p>
      <w:pPr>
        <w:spacing w:before="0" w:after="100" w:line="276" w:lineRule="auto"/>
      </w:pPr>
      <w:r>
        <w:rPr>
          <w:rFonts w:ascii="Arial" w:hAnsi="Arial"/>
          <w:color w:val="1E293B"/>
          <w:sz w:val="19"/>
        </w:rPr>
        <w:t>18. What is the core working hours window under the hybrid model? 10:30 AM to 4:30 PM.</w:t>
      </w:r>
    </w:p>
    <w:p>
      <w:pPr>
        <w:spacing w:before="0" w:after="100" w:line="276" w:lineRule="auto"/>
      </w:pPr>
      <w:r>
        <w:rPr>
          <w:rFonts w:ascii="Arial" w:hAnsi="Arial"/>
          <w:color w:val="1E293B"/>
          <w:sz w:val="19"/>
        </w:rPr>
        <w:t>19. Which branch office specializes in cloud and DevOps work? Bangalore.</w:t>
      </w:r>
    </w:p>
    <w:p>
      <w:pPr>
        <w:spacing w:before="0" w:after="100" w:line="276" w:lineRule="auto"/>
      </w:pPr>
      <w:r>
        <w:rPr>
          <w:rFonts w:ascii="Arial" w:hAnsi="Arial"/>
          <w:color w:val="1E293B"/>
          <w:sz w:val="19"/>
        </w:rPr>
        <w:t>20. Which branch office specializes in enterprise solutions? Pune.</w:t>
      </w:r>
    </w:p>
    <w:p>
      <w:pPr>
        <w:spacing w:before="0" w:after="100" w:line="276" w:lineRule="auto"/>
      </w:pPr>
      <w:r>
        <w:rPr>
          <w:rFonts w:ascii="Arial" w:hAnsi="Arial"/>
          <w:color w:val="1E293B"/>
          <w:sz w:val="19"/>
        </w:rPr>
        <w:t>21. Which branch office specializes in quality assurance? Chennai.</w:t>
      </w:r>
    </w:p>
    <w:p>
      <w:pPr>
        <w:spacing w:before="0" w:after="100" w:line="276" w:lineRule="auto"/>
      </w:pPr>
      <w:r>
        <w:rPr>
          <w:rFonts w:ascii="Arial" w:hAnsi="Arial"/>
          <w:color w:val="1E293B"/>
          <w:sz w:val="19"/>
        </w:rPr>
        <w:t>22. Which branch office is the client-facing hub? Mumbai.</w:t>
      </w:r>
    </w:p>
    <w:p>
      <w:pPr>
        <w:spacing w:before="0" w:after="100" w:line="276" w:lineRule="auto"/>
      </w:pPr>
      <w:r>
        <w:rPr>
          <w:rFonts w:ascii="Arial" w:hAnsi="Arial"/>
          <w:color w:val="1E293B"/>
          <w:sz w:val="19"/>
        </w:rPr>
        <w:t>23. How often is this document reviewed? Annually, or upon material organizational changes.</w:t>
      </w:r>
    </w:p>
    <w:p>
      <w:pPr>
        <w:spacing w:before="0" w:after="100" w:line="276" w:lineRule="auto"/>
      </w:pPr>
      <w:r>
        <w:rPr>
          <w:rFonts w:ascii="Arial" w:hAnsi="Arial"/>
          <w:color w:val="1E293B"/>
          <w:sz w:val="19"/>
        </w:rPr>
        <w:t>24. When is this document provided to a new employee? On Day 1 via the onboarding portal.</w:t>
      </w:r>
    </w:p>
    <w:p>
      <w:pPr>
        <w:spacing w:before="0" w:after="100" w:line="276" w:lineRule="auto"/>
      </w:pPr>
      <w:r>
        <w:rPr>
          <w:rFonts w:ascii="Arial" w:hAnsi="Arial"/>
          <w:color w:val="1E293B"/>
          <w:sz w:val="19"/>
        </w:rPr>
        <w:t>25. What communication channels are considered official at Series Tech Limited? Corporate email, corporate Slack/Teams, and official phone calls.</w:t>
      </w:r>
    </w:p>
    <w:p>
      <w:pPr>
        <w:spacing w:before="0" w:after="100" w:line="276" w:lineRule="auto"/>
      </w:pPr>
      <w:r>
        <w:rPr>
          <w:rFonts w:ascii="Arial" w:hAnsi="Arial"/>
          <w:color w:val="1E293B"/>
          <w:sz w:val="19"/>
        </w:rPr>
        <w:t>26. How quickly should employees respond to emails? Within 1 business day.</w:t>
      </w:r>
    </w:p>
    <w:p>
      <w:pPr>
        <w:spacing w:before="0" w:after="100" w:line="276" w:lineRule="auto"/>
      </w:pPr>
      <w:r>
        <w:rPr>
          <w:rFonts w:ascii="Arial" w:hAnsi="Arial"/>
          <w:color w:val="1E293B"/>
          <w:sz w:val="19"/>
        </w:rPr>
        <w:t>27. How quickly should employees respond to instant messages during working hours? Within 2 to 3 hours during core working hours.</w:t>
      </w:r>
    </w:p>
    <w:p>
      <w:pPr>
        <w:spacing w:before="0" w:after="100" w:line="276" w:lineRule="auto"/>
      </w:pPr>
      <w:r>
        <w:rPr>
          <w:rFonts w:ascii="Arial" w:hAnsi="Arial"/>
          <w:color w:val="1E293B"/>
          <w:sz w:val="19"/>
        </w:rPr>
        <w:t>28. Is personal email allowed for official business? No, personal email is strictly prohibited for company communications.</w:t>
      </w:r>
    </w:p>
    <w:p>
      <w:pPr>
        <w:spacing w:before="0" w:after="100" w:line="276" w:lineRule="auto"/>
      </w:pPr>
      <w:r>
        <w:rPr>
          <w:rFonts w:ascii="Arial" w:hAnsi="Arial"/>
          <w:color w:val="1E293B"/>
          <w:sz w:val="19"/>
        </w:rPr>
        <w:t>29. What should an employee do during a fire evacuation? Follow marked exit routes to the outdoor assembly point.</w:t>
      </w:r>
    </w:p>
    <w:p>
      <w:pPr>
        <w:spacing w:before="0" w:after="100" w:line="276" w:lineRule="auto"/>
      </w:pPr>
      <w:r>
        <w:rPr>
          <w:rFonts w:ascii="Arial" w:hAnsi="Arial"/>
          <w:color w:val="1E293B"/>
          <w:sz w:val="19"/>
        </w:rPr>
        <w:t>30. Who is responsible for maintaining emergency contact postings? The Administration department.</w:t>
      </w:r>
    </w:p>
    <w:p>
      <w:pPr>
        <w:spacing w:before="0" w:after="100" w:line="276" w:lineRule="auto"/>
      </w:pPr>
      <w:r>
        <w:rPr>
          <w:rFonts w:ascii="Arial" w:hAnsi="Arial"/>
          <w:color w:val="1E293B"/>
          <w:sz w:val="19"/>
        </w:rPr>
        <w:t>31. What documents complement the Company Profile document? HR Policies v3.2, Employee Lifecycle Handbook v2.0, Payroll &amp; Finance Policy v5.0, IT Services Policy.</w:t>
      </w:r>
    </w:p>
    <w:p>
      <w:pPr>
        <w:spacing w:before="0" w:after="100" w:line="276" w:lineRule="auto"/>
      </w:pPr>
      <w:r>
        <w:rPr>
          <w:rFonts w:ascii="Arial" w:hAnsi="Arial"/>
          <w:color w:val="1E293B"/>
          <w:sz w:val="19"/>
        </w:rPr>
        <w:t>32. Can a visitor access the server room unescorted? No, unescorted access to server rooms or SOCs is strictly forbidden.</w:t>
      </w:r>
    </w:p>
    <w:p>
      <w:pPr>
        <w:spacing w:before="0" w:after="100" w:line="276" w:lineRule="auto"/>
      </w:pPr>
      <w:r>
        <w:rPr>
          <w:rFonts w:ascii="Arial" w:hAnsi="Arial"/>
          <w:color w:val="1E293B"/>
          <w:sz w:val="19"/>
        </w:rPr>
        <w:t>33. What is the vision of Series Tech Limited? To become a globally trusted technology partner known for engineering excellence, security, and talent development.</w:t>
      </w:r>
    </w:p>
    <w:p>
      <w:pPr>
        <w:spacing w:before="0" w:after="100" w:line="276" w:lineRule="auto"/>
      </w:pPr>
      <w:r>
        <w:rPr>
          <w:rFonts w:ascii="Arial" w:hAnsi="Arial"/>
          <w:color w:val="1E293B"/>
          <w:sz w:val="19"/>
        </w:rPr>
        <w:t>34. What is the mission of Series Tech Limited? To design, build, and operate reliable, secure, and intelligent technology solutions for client business outcomes.</w:t>
      </w:r>
    </w:p>
    <w:p>
      <w:pPr>
        <w:spacing w:before="0" w:after="100" w:line="276" w:lineRule="auto"/>
      </w:pPr>
      <w:r>
        <w:rPr>
          <w:rFonts w:ascii="Arial" w:hAnsi="Arial"/>
          <w:color w:val="1E293B"/>
          <w:sz w:val="19"/>
        </w:rPr>
        <w:t>35. How many business units does Series Tech Limited have? Six business units: Software Development, AI, Cloud Computing, Cybersecurity, Enterprise Solutions, Data Engineering.</w:t>
      </w:r>
    </w:p>
    <w:p>
      <w:pPr>
        <w:spacing w:before="0" w:after="100" w:line="276" w:lineRule="auto"/>
      </w:pPr>
      <w:r>
        <w:rPr>
          <w:rFonts w:ascii="Arial" w:hAnsi="Arial"/>
          <w:color w:val="1E293B"/>
          <w:sz w:val="19"/>
        </w:rPr>
        <w:t>36. Who is responsible for updating the Company Profile? The Human Resources documentation team maintains the Company Profile with input from department heads.</w:t>
      </w:r>
    </w:p>
    <w:p>
      <w:pPr>
        <w:spacing w:before="0" w:after="100" w:line="276" w:lineRule="auto"/>
      </w:pPr>
      <w:r>
        <w:rPr>
          <w:rFonts w:ascii="Arial" w:hAnsi="Arial"/>
          <w:color w:val="1E293B"/>
          <w:sz w:val="19"/>
        </w:rPr>
        <w:t>37. Who gives final approval for major Company Profile updates? The Chief Operating Officer (COO) provides final approval for major updates.</w:t>
      </w:r>
    </w:p>
    <w:p>
      <w:pPr>
        <w:spacing w:before="0" w:after="100" w:line="276" w:lineRule="auto"/>
      </w:pPr>
      <w:r>
        <w:rPr>
          <w:rFonts w:ascii="Arial" w:hAnsi="Arial"/>
          <w:color w:val="1E293B"/>
          <w:sz w:val="19"/>
        </w:rPr>
        <w:t>38. Who approves minor corrections? Minor factual corrections may be approved by the Human Resources department head without COO escalation.</w:t>
      </w:r>
    </w:p>
    <w:p>
      <w:pPr>
        <w:spacing w:before="0" w:after="100" w:line="276" w:lineRule="auto"/>
      </w:pPr>
      <w:r>
        <w:rPr>
          <w:rFonts w:ascii="Arial" w:hAnsi="Arial"/>
          <w:color w:val="1E293B"/>
          <w:sz w:val="19"/>
        </w:rPr>
        <w:t>39. Where can employees find the latest Company Profile? Published on the Series Tech Limited learning portal.</w:t>
      </w:r>
    </w:p>
    <w:p>
      <w:pPr>
        <w:spacing w:before="0" w:after="100" w:line="276" w:lineRule="auto"/>
      </w:pPr>
      <w:r>
        <w:rPr>
          <w:rFonts w:ascii="Arial" w:hAnsi="Arial"/>
          <w:color w:val="1E293B"/>
          <w:sz w:val="19"/>
        </w:rPr>
        <w:t>40. What should I do if this document contains incorrect information? Report outdated or incorrect information to Human Resources through the internal HR ticketing system.</w:t>
      </w:r>
    </w:p>
    <w:p>
      <w:pPr>
        <w:spacing w:before="0" w:after="100" w:line="276" w:lineRule="auto"/>
      </w:pPr>
      <w:r>
        <w:rPr>
          <w:rFonts w:ascii="Arial" w:hAnsi="Arial"/>
          <w:color w:val="1E293B"/>
          <w:sz w:val="19"/>
        </w:rPr>
        <w:t>41. Which document governs leave and attendance? Leave, attendance, WFH, hybrid work, and parental leave are governed by HR Policies v3.2.</w:t>
      </w:r>
    </w:p>
    <w:p>
      <w:pPr>
        <w:spacing w:before="0" w:after="100" w:line="276" w:lineRule="auto"/>
      </w:pPr>
      <w:r>
        <w:rPr>
          <w:rFonts w:ascii="Arial" w:hAnsi="Arial"/>
          <w:color w:val="1E293B"/>
          <w:sz w:val="19"/>
        </w:rPr>
        <w:t>42. Which document governs resignation and exit? The Employee Lifecycle Handbook v2.0 governs onboarding, probation, confirmation, resignation, notice periods, and exit processes.</w:t>
      </w:r>
    </w:p>
    <w:p>
      <w:pPr>
        <w:spacing w:before="0" w:after="100" w:line="276" w:lineRule="auto"/>
      </w:pPr>
      <w:r>
        <w:rPr>
          <w:rFonts w:ascii="Arial" w:hAnsi="Arial"/>
          <w:color w:val="1E293B"/>
          <w:sz w:val="19"/>
        </w:rPr>
        <w:t>43. Which document governs salary and payroll? Payroll and salary matters are governed by Payroll &amp; Finance Policy v5.0.</w:t>
      </w:r>
    </w:p>
    <w:p>
      <w:pPr>
        <w:spacing w:before="0" w:after="100" w:line="276" w:lineRule="auto"/>
      </w:pPr>
      <w:r>
        <w:rPr>
          <w:rFonts w:ascii="Arial" w:hAnsi="Arial"/>
          <w:color w:val="1E293B"/>
          <w:sz w:val="19"/>
        </w:rPr>
        <w:t>44. Which document governs cybersecurity? Cybersecurity and information security matters are governed by the applicable IT and Information Security policies.</w:t>
      </w:r>
    </w:p>
    <w:p>
      <w:pPr>
        <w:spacing w:before="0" w:after="100" w:line="276" w:lineRule="auto"/>
      </w:pPr>
      <w:r>
        <w:rPr>
          <w:rFonts w:ascii="Arial" w:hAnsi="Arial"/>
          <w:color w:val="1E293B"/>
          <w:sz w:val="19"/>
        </w:rPr>
        <w:t>45. Which document governs employee benefits? Employee benefit eligibility and benefit administration are governed by the Employee Benefits Policy.</w:t>
      </w:r>
    </w:p>
    <w:p>
      <w:pPr>
        <w:spacing w:before="0" w:after="100" w:line="276" w:lineRule="auto"/>
      </w:pPr>
      <w:r>
        <w:rPr>
          <w:rFonts w:ascii="Arial" w:hAnsi="Arial"/>
          <w:color w:val="1E293B"/>
          <w:sz w:val="19"/>
        </w:rPr>
        <w:t>46. Who should I contact for an office facility issue? Contact the Administration department or the relevant office facility manager.</w:t>
      </w:r>
    </w:p>
    <w:p>
      <w:pPr>
        <w:spacing w:before="0" w:after="100" w:line="276" w:lineRule="auto"/>
      </w:pPr>
      <w:r>
        <w:rPr>
          <w:rFonts w:ascii="Arial" w:hAnsi="Arial"/>
          <w:color w:val="1E293B"/>
          <w:sz w:val="19"/>
        </w:rPr>
        <w:t>47. Who should I contact for an IT issue? Contact the IT Support helpdesk for technology-related issues and outages.</w:t>
      </w:r>
    </w:p>
    <w:p>
      <w:pPr>
        <w:spacing w:before="0" w:after="100" w:line="276" w:lineRule="auto"/>
      </w:pPr>
      <w:r>
        <w:rPr>
          <w:rFonts w:ascii="Arial" w:hAnsi="Arial"/>
          <w:color w:val="1E293B"/>
          <w:sz w:val="19"/>
        </w:rPr>
        <w:t>48. Who should I contact for an HR issue? Contact Human Resources through the internal HR helpdesk or ticketing system.</w:t>
      </w:r>
    </w:p>
    <w:p>
      <w:pPr>
        <w:spacing w:before="0" w:after="100" w:line="276" w:lineRule="auto"/>
      </w:pPr>
      <w:r>
        <w:rPr>
          <w:rFonts w:ascii="Arial" w:hAnsi="Arial"/>
          <w:color w:val="1E293B"/>
          <w:sz w:val="19"/>
        </w:rPr>
        <w:t>49. Can visitors enter restricted areas? No. Visitors must not enter restricted areas such as server rooms or SOCs without authorization and escort.</w:t>
      </w:r>
    </w:p>
    <w:p>
      <w:pPr>
        <w:spacing w:before="0" w:after="100" w:line="276" w:lineRule="auto"/>
      </w:pPr>
      <w:r>
        <w:rPr>
          <w:rFonts w:ascii="Arial" w:hAnsi="Arial"/>
          <w:color w:val="1E293B"/>
          <w:sz w:val="19"/>
        </w:rPr>
        <w:t>50. Does the Company Profile replace other company policies? No. The Company Profile provides general organizational information. Detailed matters are governed by their respective subject-specific policies.</w:t>
      </w:r>
    </w:p>
    <w:p>
      <w:pPr>
        <w:keepNext/>
        <w:spacing w:before="320" w:after="120"/>
      </w:pPr>
      <w:r>
        <w:rPr>
          <w:rFonts w:ascii="Arial" w:hAnsi="Arial"/>
          <w:b/>
          <w:color w:val="0F172A"/>
          <w:sz w:val="24"/>
        </w:rPr>
        <w:t>14. Definitions</w:t>
      </w:r>
    </w:p>
    <w:p>
      <w:pPr>
        <w:spacing w:before="0" w:after="100" w:line="276" w:lineRule="auto"/>
      </w:pPr>
      <w:r>
        <w:rPr>
          <w:rFonts w:ascii="Arial" w:hAnsi="Arial"/>
          <w:color w:val="1E293B"/>
          <w:sz w:val="19"/>
        </w:rPr>
        <w:t>Business Unit: A major organizational division responsible for a specific technology or service domain.</w:t>
      </w:r>
    </w:p>
    <w:p>
      <w:pPr>
        <w:spacing w:before="0" w:after="100" w:line="276" w:lineRule="auto"/>
      </w:pPr>
      <w:r>
        <w:rPr>
          <w:rFonts w:ascii="Arial" w:hAnsi="Arial"/>
          <w:color w:val="1E293B"/>
          <w:sz w:val="19"/>
        </w:rPr>
        <w:t>Department: A functional organizational group responsible for a specialized business or operational activity.</w:t>
      </w:r>
    </w:p>
    <w:p>
      <w:pPr>
        <w:spacing w:before="0" w:after="100" w:line="276" w:lineRule="auto"/>
      </w:pPr>
      <w:r>
        <w:rPr>
          <w:rFonts w:ascii="Arial" w:hAnsi="Arial"/>
          <w:color w:val="1E293B"/>
          <w:sz w:val="19"/>
        </w:rPr>
        <w:t>Head Office: The Hyderabad corporate headquarters of Series Tech Limited.</w:t>
      </w:r>
    </w:p>
    <w:p>
      <w:pPr>
        <w:spacing w:before="0" w:after="100" w:line="276" w:lineRule="auto"/>
      </w:pPr>
      <w:r>
        <w:rPr>
          <w:rFonts w:ascii="Arial" w:hAnsi="Arial"/>
          <w:color w:val="1E293B"/>
          <w:sz w:val="19"/>
        </w:rPr>
        <w:t>Branch Office: A Series Tech Limited office operating outside the Hyderabad head office (Bangalore, Pune, Chennai, Mumbai).</w:t>
      </w:r>
    </w:p>
    <w:p>
      <w:pPr>
        <w:spacing w:before="0" w:after="100" w:line="276" w:lineRule="auto"/>
      </w:pPr>
      <w:r>
        <w:rPr>
          <w:rFonts w:ascii="Arial" w:hAnsi="Arial"/>
          <w:color w:val="1E293B"/>
          <w:sz w:val="19"/>
        </w:rPr>
        <w:t>Hybrid Working Model: An approved working arrangement that combines office-based and remote work.</w:t>
      </w:r>
    </w:p>
    <w:p>
      <w:pPr>
        <w:spacing w:before="0" w:after="100" w:line="276" w:lineRule="auto"/>
      </w:pPr>
      <w:r>
        <w:rPr>
          <w:rFonts w:ascii="Arial" w:hAnsi="Arial"/>
          <w:color w:val="1E293B"/>
          <w:sz w:val="19"/>
        </w:rPr>
        <w:t>Core Working Hours: 10:30 AM to 4:30 PM, during which employees are expected to remain reachable.</w:t>
      </w:r>
    </w:p>
    <w:p>
      <w:pPr>
        <w:spacing w:before="0" w:after="100" w:line="276" w:lineRule="auto"/>
      </w:pPr>
      <w:r>
        <w:rPr>
          <w:rFonts w:ascii="Arial" w:hAnsi="Arial"/>
          <w:color w:val="1E293B"/>
          <w:sz w:val="19"/>
        </w:rPr>
        <w:t>Official Communication Channel: A corporate-approved communication method, including corporate email and approved collaboration platforms.</w:t>
      </w:r>
    </w:p>
    <w:p>
      <w:pPr>
        <w:spacing w:before="0" w:after="100" w:line="276" w:lineRule="auto"/>
      </w:pPr>
      <w:r>
        <w:rPr>
          <w:rFonts w:ascii="Arial" w:hAnsi="Arial"/>
          <w:color w:val="1E293B"/>
          <w:sz w:val="19"/>
        </w:rPr>
        <w:t>Restricted Area: An area requiring specific authorization, such as server rooms, security operations centers, or areas containing sensitive information.</w:t>
      </w:r>
    </w:p>
    <w:p>
      <w:pPr>
        <w:spacing w:before="0" w:after="100" w:line="276" w:lineRule="auto"/>
      </w:pPr>
      <w:r>
        <w:rPr>
          <w:rFonts w:ascii="Arial" w:hAnsi="Arial"/>
          <w:color w:val="1E293B"/>
          <w:sz w:val="19"/>
        </w:rPr>
        <w:t>Visitor: Any non-employee entering a Series Tech Limited office, including clients, vendors, consultants, and family members.</w:t>
      </w:r>
    </w:p>
    <w:p>
      <w:pPr>
        <w:keepNext/>
        <w:spacing w:before="320" w:after="120"/>
      </w:pPr>
      <w:r>
        <w:rPr>
          <w:rFonts w:ascii="Arial" w:hAnsi="Arial"/>
          <w:b/>
          <w:color w:val="0F172A"/>
          <w:sz w:val="24"/>
        </w:rPr>
        <w:t>15. Document Control &amp; Revision History</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r>
              <w:rPr>
                <w:rFonts w:ascii="Arial" w:hAnsi="Arial"/>
                <w:b/>
                <w:color w:val="FFFFFF"/>
                <w:sz w:val="17"/>
              </w:rPr>
              <w:t>Version</w:t>
            </w:r>
          </w:p>
        </w:tc>
        <w:tc>
          <w:tcPr>
            <w:tcW w:type="dxa" w:w="2340"/>
            <w:shd w:fill="0F172A"/>
          </w:tcPr>
          <w:p>
            <w:r>
              <w:rPr>
                <w:rFonts w:ascii="Arial" w:hAnsi="Arial"/>
                <w:b/>
                <w:color w:val="FFFFFF"/>
                <w:sz w:val="17"/>
              </w:rPr>
              <w:t>Effective Date</w:t>
            </w:r>
          </w:p>
        </w:tc>
        <w:tc>
          <w:tcPr>
            <w:tcW w:type="dxa" w:w="2340"/>
            <w:shd w:fill="0F172A"/>
          </w:tcPr>
          <w:p>
            <w:r>
              <w:rPr>
                <w:rFonts w:ascii="Arial" w:hAnsi="Arial"/>
                <w:b/>
                <w:color w:val="FFFFFF"/>
                <w:sz w:val="17"/>
              </w:rPr>
              <w:t>Summary of Changes</w:t>
            </w:r>
          </w:p>
        </w:tc>
        <w:tc>
          <w:tcPr>
            <w:tcW w:type="dxa" w:w="2340"/>
            <w:shd w:fill="0F172A"/>
          </w:tcPr>
          <w:p>
            <w:r>
              <w:rPr>
                <w:rFonts w:ascii="Arial" w:hAnsi="Arial"/>
                <w:b/>
                <w:color w:val="FFFFFF"/>
                <w:sz w:val="17"/>
              </w:rPr>
              <w:t>Approved By</w:t>
            </w:r>
          </w:p>
        </w:tc>
      </w:tr>
      <w:tr>
        <w:tc>
          <w:tcPr>
            <w:tcW w:type="dxa" w:w="2340"/>
            <w:shd w:fill="F8FAFC"/>
          </w:tcPr>
          <w:p>
            <w:r>
              <w:rPr>
                <w:rFonts w:ascii="Arial" w:hAnsi="Arial"/>
                <w:color w:val="1E293B"/>
                <w:sz w:val="16"/>
              </w:rPr>
              <w:t>1.0</w:t>
            </w:r>
          </w:p>
        </w:tc>
        <w:tc>
          <w:tcPr>
            <w:tcW w:type="dxa" w:w="2340"/>
            <w:shd w:fill="F8FAFC"/>
          </w:tcPr>
          <w:p>
            <w:r>
              <w:rPr>
                <w:rFonts w:ascii="Arial" w:hAnsi="Arial"/>
                <w:color w:val="1E293B"/>
                <w:sz w:val="16"/>
              </w:rPr>
              <w:t>January 2025</w:t>
            </w:r>
          </w:p>
        </w:tc>
        <w:tc>
          <w:tcPr>
            <w:tcW w:type="dxa" w:w="2340"/>
            <w:shd w:fill="F8FAFC"/>
          </w:tcPr>
          <w:p>
            <w:r>
              <w:rPr>
                <w:rFonts w:ascii="Arial" w:hAnsi="Arial"/>
                <w:color w:val="1E293B"/>
                <w:sz w:val="16"/>
              </w:rPr>
              <w:t>Initial Publication of Corporate Company Profile</w:t>
            </w:r>
          </w:p>
        </w:tc>
        <w:tc>
          <w:tcPr>
            <w:tcW w:type="dxa" w:w="2340"/>
            <w:shd w:fill="F8FAFC"/>
          </w:tcPr>
          <w:p>
            <w:r>
              <w:rPr>
                <w:rFonts w:ascii="Arial" w:hAnsi="Arial"/>
                <w:color w:val="1E293B"/>
                <w:sz w:val="16"/>
              </w:rPr>
              <w:t>Chief Operating Officer</w:t>
            </w:r>
          </w:p>
        </w:tc>
      </w:tr>
      <w:tr>
        <w:tc>
          <w:tcPr>
            <w:tcW w:type="dxa" w:w="2340"/>
            <w:shd w:fill="FFFFFF"/>
          </w:tcPr>
          <w:p>
            <w:r>
              <w:rPr>
                <w:rFonts w:ascii="Arial" w:hAnsi="Arial"/>
                <w:color w:val="1E293B"/>
                <w:sz w:val="16"/>
              </w:rPr>
              <w:t>2.0</w:t>
            </w:r>
          </w:p>
        </w:tc>
        <w:tc>
          <w:tcPr>
            <w:tcW w:type="dxa" w:w="2340"/>
            <w:shd w:fill="FFFFFF"/>
          </w:tcPr>
          <w:p>
            <w:r>
              <w:rPr>
                <w:rFonts w:ascii="Arial" w:hAnsi="Arial"/>
                <w:color w:val="1E293B"/>
                <w:sz w:val="16"/>
              </w:rPr>
              <w:t>July 2026</w:t>
            </w:r>
          </w:p>
        </w:tc>
        <w:tc>
          <w:tcPr>
            <w:tcW w:type="dxa" w:w="2340"/>
            <w:shd w:fill="FFFFFF"/>
          </w:tcPr>
          <w:p>
            <w:r>
              <w:rPr>
                <w:rFonts w:ascii="Arial" w:hAnsi="Arial"/>
                <w:color w:val="1E293B"/>
                <w:sz w:val="16"/>
              </w:rPr>
              <w:t>Enterprise Update: Added Metadata Header Block, Core Values Matrix, Business Units Table, Hub Specializations Table, Communication SLA Table, 20 Decision Q&amp;A, and 45 Extended FAQs.</w:t>
            </w:r>
          </w:p>
        </w:tc>
        <w:tc>
          <w:tcPr>
            <w:tcW w:type="dxa" w:w="2340"/>
            <w:shd w:fill="FFFFFF"/>
          </w:tcPr>
          <w:p>
            <w:r>
              <w:rPr>
                <w:rFonts w:ascii="Arial" w:hAnsi="Arial"/>
                <w:color w:val="1E293B"/>
                <w:sz w:val="16"/>
              </w:rPr>
              <w:t>Chief Operating Officer</w:t>
            </w:r>
          </w:p>
        </w:tc>
      </w:tr>
      <w:tr>
        <w:tc>
          <w:tcPr>
            <w:tcW w:type="dxa" w:w="2340"/>
            <w:shd w:fill="F8FAFC"/>
          </w:tcPr>
          <w:p>
            <w:r>
              <w:rPr>
                <w:rFonts w:ascii="Arial" w:hAnsi="Arial"/>
                <w:color w:val="1E293B"/>
                <w:sz w:val="16"/>
              </w:rPr>
              <w:t>2.1</w:t>
            </w:r>
          </w:p>
        </w:tc>
        <w:tc>
          <w:tcPr>
            <w:tcW w:type="dxa" w:w="2340"/>
            <w:shd w:fill="F8FAFC"/>
          </w:tcPr>
          <w:p>
            <w:r>
              <w:rPr>
                <w:rFonts w:ascii="Arial" w:hAnsi="Arial"/>
                <w:color w:val="1E293B"/>
                <w:sz w:val="16"/>
              </w:rPr>
              <w:t>July 2026</w:t>
            </w:r>
          </w:p>
        </w:tc>
        <w:tc>
          <w:tcPr>
            <w:tcW w:type="dxa" w:w="2340"/>
            <w:shd w:fill="F8FAFC"/>
          </w:tcPr>
          <w:p>
            <w:r>
              <w:rPr>
                <w:rFonts w:ascii="Arial" w:hAnsi="Arial"/>
                <w:color w:val="1E293B"/>
                <w:sz w:val="16"/>
              </w:rPr>
              <w:t>Production-Ready Final: Synchronized Employee Lifecycle v2.0 references, COO approval authority, RAG Knowledge Base Metadata, Company Information Decision Matrix, Branch Mobility Boundary, Core Hours Clarification, Emergency Disclaimer, Knowledge Base Source Priority, Scope Boundary, and 50 cross-document FAQs.</w:t>
            </w:r>
          </w:p>
        </w:tc>
        <w:tc>
          <w:tcPr>
            <w:tcW w:type="dxa" w:w="2340"/>
            <w:shd w:fill="F8FAFC"/>
          </w:tcPr>
          <w:p>
            <w:r>
              <w:rPr>
                <w:rFonts w:ascii="Arial" w:hAnsi="Arial"/>
                <w:color w:val="1E293B"/>
                <w:sz w:val="16"/>
              </w:rPr>
              <w:t>Chief Operating Officer</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