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8"/>
        </w:rPr>
        <w:t>Series Tech Limited</w:t>
      </w:r>
    </w:p>
    <w:p>
      <w:pPr>
        <w:spacing w:before="0" w:after="360"/>
      </w:pPr>
      <w:r>
        <w:rPr>
          <w:rFonts w:ascii="Arial" w:hAnsi="Arial"/>
          <w:b/>
          <w:color w:val="0284C7"/>
          <w:sz w:val="28"/>
        </w:rPr>
        <w:t>Comprehensive Cybersecurity, Governance &amp; Compliance Manual</w:t>
      </w:r>
    </w:p>
    <w:p>
      <w:pPr>
        <w:keepNext/>
        <w:spacing w:before="320" w:after="120"/>
      </w:pPr>
      <w:r>
        <w:rPr>
          <w:rFonts w:ascii="Arial" w:hAnsi="Arial"/>
          <w:b/>
          <w:color w:val="0F172A"/>
          <w:sz w:val="28"/>
        </w:rPr>
        <w:t>1. Purpose &amp; Scope</w:t>
      </w:r>
    </w:p>
    <w:p>
      <w:pPr>
        <w:spacing w:before="0" w:after="120" w:line="276" w:lineRule="auto"/>
      </w:pPr>
      <w:r>
        <w:rPr>
          <w:rFonts w:ascii="Arial" w:hAnsi="Arial"/>
          <w:color w:val="1E293B"/>
          <w:sz w:val="20"/>
        </w:rPr>
        <w:t>This document describes the complete cybersecurity, data governance, and regulatory compliance framework at Series Tech Limited. It covers information security controls, data privacy rules, confidentiality obligations, acceptable use standards, phishing defense mechanisms, identity and access management (IAM), security incident response protocols, and legal responsibilities. It is designed to serve as an exhaustive policy reference for all personnel without requiring supplementary documentation.</w:t>
      </w:r>
    </w:p>
    <w:p>
      <w:pPr>
        <w:spacing w:before="0" w:after="120" w:line="276" w:lineRule="auto"/>
      </w:pPr>
      <w:r>
        <w:rPr>
          <w:rFonts w:ascii="Arial" w:hAnsi="Arial"/>
          <w:b/>
          <w:color w:val="1E293B"/>
          <w:sz w:val="20"/>
        </w:rPr>
        <w:t xml:space="preserve">Operational Scope: </w:t>
      </w:r>
      <w:r>
        <w:rPr>
          <w:rFonts w:ascii="Arial" w:hAnsi="Arial"/>
          <w:color w:val="1E293B"/>
          <w:sz w:val="20"/>
        </w:rPr>
        <w:t>This policy applies to all full-time employees, part-time staff, interns, contractors, vendors, and third-party personnel accessing Series Tech Limited platforms, infrastructure, client environments, or enterprise assets across all operational hubs (Hyderabad Head Office, Pune Enterprise Solutions Hub, and Hybrid/Remote locations).</w:t>
      </w:r>
    </w:p>
    <w:p>
      <w:pPr>
        <w:keepNext/>
        <w:spacing w:before="320" w:after="120"/>
      </w:pPr>
      <w:r>
        <w:rPr>
          <w:rFonts w:ascii="Arial" w:hAnsi="Arial"/>
          <w:b/>
          <w:color w:val="0F172A"/>
          <w:sz w:val="28"/>
        </w:rPr>
        <w:t>2. Information Security &amp; Data Classification Matrix</w:t>
      </w:r>
    </w:p>
    <w:p>
      <w:pPr>
        <w:spacing w:before="0" w:after="120" w:line="276" w:lineRule="auto"/>
      </w:pPr>
      <w:r>
        <w:rPr>
          <w:rFonts w:ascii="Arial" w:hAnsi="Arial"/>
          <w:color w:val="1E293B"/>
          <w:sz w:val="20"/>
        </w:rPr>
        <w:t>Series Tech Limited mandates strict data handling procedures aligned with information sensitivity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rFonts w:ascii="Arial" w:hAnsi="Arial"/>
                <w:b/>
                <w:color w:val="FFFFFF"/>
                <w:sz w:val="18"/>
              </w:rPr>
              <w:t>Classification Level</w:t>
            </w:r>
          </w:p>
        </w:tc>
        <w:tc>
          <w:tcPr>
            <w:tcW w:type="dxa" w:w="2340"/>
            <w:shd w:fill="0F172A"/>
          </w:tcPr>
          <w:p>
            <w:r>
              <w:rPr>
                <w:rFonts w:ascii="Arial" w:hAnsi="Arial"/>
                <w:b/>
                <w:color w:val="FFFFFF"/>
                <w:sz w:val="18"/>
              </w:rPr>
              <w:t>Description &amp; Data Types</w:t>
            </w:r>
          </w:p>
        </w:tc>
        <w:tc>
          <w:tcPr>
            <w:tcW w:type="dxa" w:w="2340"/>
            <w:shd w:fill="0F172A"/>
          </w:tcPr>
          <w:p>
            <w:r>
              <w:rPr>
                <w:rFonts w:ascii="Arial" w:hAnsi="Arial"/>
                <w:b/>
                <w:color w:val="FFFFFF"/>
                <w:sz w:val="18"/>
              </w:rPr>
              <w:t>Access Control Requirements</w:t>
            </w:r>
          </w:p>
        </w:tc>
        <w:tc>
          <w:tcPr>
            <w:tcW w:type="dxa" w:w="2340"/>
            <w:shd w:fill="0F172A"/>
          </w:tcPr>
          <w:p>
            <w:r>
              <w:rPr>
                <w:rFonts w:ascii="Arial" w:hAnsi="Arial"/>
                <w:b/>
                <w:color w:val="FFFFFF"/>
                <w:sz w:val="18"/>
              </w:rPr>
              <w:t>Storage &amp; Transmission</w:t>
            </w:r>
          </w:p>
        </w:tc>
      </w:tr>
      <w:tr>
        <w:tc>
          <w:tcPr>
            <w:tcW w:type="dxa" w:w="2340"/>
            <w:shd w:fill="F8FAFC"/>
          </w:tcPr>
          <w:p>
            <w:r>
              <w:rPr>
                <w:rFonts w:ascii="Arial" w:hAnsi="Arial"/>
                <w:color w:val="1E293B"/>
                <w:sz w:val="17"/>
              </w:rPr>
              <w:t>Public</w:t>
            </w:r>
          </w:p>
        </w:tc>
        <w:tc>
          <w:tcPr>
            <w:tcW w:type="dxa" w:w="2340"/>
            <w:shd w:fill="F8FAFC"/>
          </w:tcPr>
          <w:p>
            <w:r>
              <w:rPr>
                <w:rFonts w:ascii="Arial" w:hAnsi="Arial"/>
                <w:color w:val="1E293B"/>
                <w:sz w:val="17"/>
              </w:rPr>
              <w:t>Marketing collateral, public docs, press releases</w:t>
            </w:r>
          </w:p>
        </w:tc>
        <w:tc>
          <w:tcPr>
            <w:tcW w:type="dxa" w:w="2340"/>
            <w:shd w:fill="F8FAFC"/>
          </w:tcPr>
          <w:p>
            <w:r>
              <w:rPr>
                <w:rFonts w:ascii="Arial" w:hAnsi="Arial"/>
                <w:color w:val="1E293B"/>
                <w:sz w:val="17"/>
              </w:rPr>
              <w:t>Unrestricted</w:t>
            </w:r>
          </w:p>
        </w:tc>
        <w:tc>
          <w:tcPr>
            <w:tcW w:type="dxa" w:w="2340"/>
            <w:shd w:fill="F8FAFC"/>
          </w:tcPr>
          <w:p>
            <w:r>
              <w:rPr>
                <w:rFonts w:ascii="Arial" w:hAnsi="Arial"/>
                <w:color w:val="1E293B"/>
                <w:sz w:val="17"/>
              </w:rPr>
              <w:t>Public web servers / Repositories</w:t>
            </w:r>
          </w:p>
        </w:tc>
      </w:tr>
      <w:tr>
        <w:tc>
          <w:tcPr>
            <w:tcW w:type="dxa" w:w="2340"/>
            <w:shd w:fill="FFFFFF"/>
          </w:tcPr>
          <w:p>
            <w:r>
              <w:rPr>
                <w:rFonts w:ascii="Arial" w:hAnsi="Arial"/>
                <w:color w:val="1E293B"/>
                <w:sz w:val="17"/>
              </w:rPr>
              <w:t>Internal</w:t>
            </w:r>
          </w:p>
        </w:tc>
        <w:tc>
          <w:tcPr>
            <w:tcW w:type="dxa" w:w="2340"/>
            <w:shd w:fill="FFFFFF"/>
          </w:tcPr>
          <w:p>
            <w:r>
              <w:rPr>
                <w:rFonts w:ascii="Arial" w:hAnsi="Arial"/>
                <w:color w:val="1E293B"/>
                <w:sz w:val="17"/>
              </w:rPr>
              <w:t>Internal policies, org charts, department updates</w:t>
            </w:r>
          </w:p>
        </w:tc>
        <w:tc>
          <w:tcPr>
            <w:tcW w:type="dxa" w:w="2340"/>
            <w:shd w:fill="FFFFFF"/>
          </w:tcPr>
          <w:p>
            <w:r>
              <w:rPr>
                <w:rFonts w:ascii="Arial" w:hAnsi="Arial"/>
                <w:color w:val="1E293B"/>
                <w:sz w:val="17"/>
              </w:rPr>
              <w:t>Role-Based Access Control (RBAC)</w:t>
            </w:r>
          </w:p>
        </w:tc>
        <w:tc>
          <w:tcPr>
            <w:tcW w:type="dxa" w:w="2340"/>
            <w:shd w:fill="FFFFFF"/>
          </w:tcPr>
          <w:p>
            <w:r>
              <w:rPr>
                <w:rFonts w:ascii="Arial" w:hAnsi="Arial"/>
                <w:color w:val="1E293B"/>
                <w:sz w:val="17"/>
              </w:rPr>
              <w:t>Internal Sharepoint / Intranet</w:t>
            </w:r>
          </w:p>
        </w:tc>
      </w:tr>
      <w:tr>
        <w:tc>
          <w:tcPr>
            <w:tcW w:type="dxa" w:w="2340"/>
            <w:shd w:fill="F8FAFC"/>
          </w:tcPr>
          <w:p>
            <w:r>
              <w:rPr>
                <w:rFonts w:ascii="Arial" w:hAnsi="Arial"/>
                <w:color w:val="1E293B"/>
                <w:sz w:val="17"/>
              </w:rPr>
              <w:t>Confidential</w:t>
            </w:r>
          </w:p>
        </w:tc>
        <w:tc>
          <w:tcPr>
            <w:tcW w:type="dxa" w:w="2340"/>
            <w:shd w:fill="F8FAFC"/>
          </w:tcPr>
          <w:p>
            <w:r>
              <w:rPr>
                <w:rFonts w:ascii="Arial" w:hAnsi="Arial"/>
                <w:color w:val="1E293B"/>
                <w:sz w:val="17"/>
              </w:rPr>
              <w:t>Client project data, architecture diagrams, roadmap</w:t>
            </w:r>
          </w:p>
        </w:tc>
        <w:tc>
          <w:tcPr>
            <w:tcW w:type="dxa" w:w="2340"/>
            <w:shd w:fill="F8FAFC"/>
          </w:tcPr>
          <w:p>
            <w:r>
              <w:rPr>
                <w:rFonts w:ascii="Arial" w:hAnsi="Arial"/>
                <w:color w:val="1E293B"/>
                <w:sz w:val="17"/>
              </w:rPr>
              <w:t>Need-to-Know + Team Membership</w:t>
            </w:r>
          </w:p>
        </w:tc>
        <w:tc>
          <w:tcPr>
            <w:tcW w:type="dxa" w:w="2340"/>
            <w:shd w:fill="F8FAFC"/>
          </w:tcPr>
          <w:p>
            <w:r>
              <w:rPr>
                <w:rFonts w:ascii="Arial" w:hAnsi="Arial"/>
                <w:color w:val="1E293B"/>
                <w:sz w:val="17"/>
              </w:rPr>
              <w:t>Encrypted Cloud / AES-256 Storage</w:t>
            </w:r>
          </w:p>
        </w:tc>
      </w:tr>
      <w:tr>
        <w:tc>
          <w:tcPr>
            <w:tcW w:type="dxa" w:w="2340"/>
            <w:shd w:fill="FFFFFF"/>
          </w:tcPr>
          <w:p>
            <w:r>
              <w:rPr>
                <w:rFonts w:ascii="Arial" w:hAnsi="Arial"/>
                <w:color w:val="1E293B"/>
                <w:sz w:val="17"/>
              </w:rPr>
              <w:t>Restricted</w:t>
            </w:r>
          </w:p>
        </w:tc>
        <w:tc>
          <w:tcPr>
            <w:tcW w:type="dxa" w:w="2340"/>
            <w:shd w:fill="FFFFFF"/>
          </w:tcPr>
          <w:p>
            <w:r>
              <w:rPr>
                <w:rFonts w:ascii="Arial" w:hAnsi="Arial"/>
                <w:color w:val="1E293B"/>
                <w:sz w:val="17"/>
              </w:rPr>
              <w:t>Source code, PII, API secrets, penetration reports</w:t>
            </w:r>
          </w:p>
        </w:tc>
        <w:tc>
          <w:tcPr>
            <w:tcW w:type="dxa" w:w="2340"/>
            <w:shd w:fill="FFFFFF"/>
          </w:tcPr>
          <w:p>
            <w:r>
              <w:rPr>
                <w:rFonts w:ascii="Arial" w:hAnsi="Arial"/>
                <w:color w:val="1E293B"/>
                <w:sz w:val="17"/>
              </w:rPr>
              <w:t>Dual Approval (Lead + Security) + MFA</w:t>
            </w:r>
          </w:p>
        </w:tc>
        <w:tc>
          <w:tcPr>
            <w:tcW w:type="dxa" w:w="2340"/>
            <w:shd w:fill="FFFFFF"/>
          </w:tcPr>
          <w:p>
            <w:r>
              <w:rPr>
                <w:rFonts w:ascii="Arial" w:hAnsi="Arial"/>
                <w:color w:val="1E293B"/>
                <w:sz w:val="17"/>
              </w:rPr>
              <w:t>Dedicated Vault / HSM / Encrypted DB</w:t>
            </w:r>
          </w:p>
        </w:tc>
      </w:tr>
    </w:tbl>
    <w:p>
      <w:pPr>
        <w:keepNext/>
        <w:spacing w:before="320" w:after="120"/>
      </w:pPr>
      <w:r>
        <w:rPr>
          <w:rFonts w:ascii="Arial" w:hAnsi="Arial"/>
          <w:b/>
          <w:color w:val="0F172A"/>
          <w:sz w:val="28"/>
        </w:rPr>
        <w:t>3. Identity, Access Management &amp; Password Security</w:t>
      </w:r>
    </w:p>
    <w:p>
      <w:pPr>
        <w:spacing w:before="0" w:after="120" w:line="276" w:lineRule="auto"/>
      </w:pPr>
      <w:r>
        <w:rPr>
          <w:rFonts w:ascii="Arial" w:hAnsi="Arial"/>
          <w:color w:val="1E293B"/>
          <w:sz w:val="20"/>
        </w:rPr>
        <w:t>Series Tech Limited enforces zero-trust identity verification across all corporate systems:</w:t>
      </w:r>
    </w:p>
    <w:p>
      <w:pPr>
        <w:spacing w:before="0" w:after="120" w:line="276" w:lineRule="auto"/>
      </w:pPr>
      <w:r>
        <w:rPr>
          <w:rFonts w:ascii="Arial" w:hAnsi="Arial"/>
          <w:b/>
          <w:color w:val="1E293B"/>
          <w:sz w:val="20"/>
        </w:rPr>
        <w:t xml:space="preserve">Password Complexity: </w:t>
      </w:r>
      <w:r>
        <w:rPr>
          <w:rFonts w:ascii="Arial" w:hAnsi="Arial"/>
          <w:color w:val="1E293B"/>
          <w:sz w:val="20"/>
        </w:rPr>
        <w:t>Must be at least 12 characters long, containing uppercase letters, lowercase letters, numbers, and special symbols. Passwords expire and must be changed every 90 days. Password reuse of the last 10 passwords is prohibited.</w:t>
      </w:r>
    </w:p>
    <w:p>
      <w:pPr>
        <w:spacing w:before="0" w:after="120" w:line="276" w:lineRule="auto"/>
      </w:pPr>
      <w:r>
        <w:rPr>
          <w:rFonts w:ascii="Arial" w:hAnsi="Arial"/>
          <w:b/>
          <w:color w:val="1E293B"/>
          <w:sz w:val="20"/>
        </w:rPr>
        <w:t xml:space="preserve">Multi-Factor Authentication (MFA): </w:t>
      </w:r>
      <w:r>
        <w:rPr>
          <w:rFonts w:ascii="Arial" w:hAnsi="Arial"/>
          <w:color w:val="1E293B"/>
          <w:sz w:val="20"/>
        </w:rPr>
        <w:t>Mandatory across all enterprise platforms (Google Workspace, JIRA, AWS, Git platform). Multi-factor authentication must utilize hardware tokens or app-based authenticator applications (FIDO2/TOTP). SMS-based 2FA is prohibited.</w:t>
      </w:r>
    </w:p>
    <w:p>
      <w:pPr>
        <w:spacing w:before="0" w:after="120" w:line="276" w:lineRule="auto"/>
      </w:pPr>
      <w:r>
        <w:rPr>
          <w:rFonts w:ascii="Arial" w:hAnsi="Arial"/>
          <w:b/>
          <w:color w:val="1E293B"/>
          <w:sz w:val="20"/>
        </w:rPr>
        <w:t xml:space="preserve">Credential Non-Disclosure: </w:t>
      </w:r>
      <w:r>
        <w:rPr>
          <w:rFonts w:ascii="Arial" w:hAnsi="Arial"/>
          <w:color w:val="1E293B"/>
          <w:sz w:val="20"/>
        </w:rPr>
        <w:t>Employees, IT Support, or Managers will never ask for credentials. Password sharing via email, chat, or verbal communication is a Severe Class-A security violation.</w:t>
      </w:r>
    </w:p>
    <w:p>
      <w:pPr>
        <w:keepNext/>
        <w:spacing w:before="320" w:after="120"/>
      </w:pPr>
      <w:r>
        <w:rPr>
          <w:rFonts w:ascii="Arial" w:hAnsi="Arial"/>
          <w:b/>
          <w:color w:val="0F172A"/>
          <w:sz w:val="28"/>
        </w:rPr>
        <w:t>4. Incident Reporting &amp; Incident Response Lifecycle</w:t>
      </w:r>
    </w:p>
    <w:p>
      <w:pPr>
        <w:spacing w:before="0" w:after="120" w:line="276" w:lineRule="auto"/>
      </w:pPr>
      <w:r>
        <w:rPr>
          <w:rFonts w:ascii="Arial" w:hAnsi="Arial"/>
          <w:color w:val="1E293B"/>
          <w:sz w:val="20"/>
        </w:rPr>
        <w:t>Early containment is critical to mitigating cyber risk. All security events—regardless of perceived severity—must be reported immediately via the internal Security Reporting Portal.</w:t>
      </w:r>
    </w:p>
    <w:p>
      <w:pPr>
        <w:keepNext/>
        <w:spacing w:before="240" w:after="80"/>
      </w:pPr>
      <w:r>
        <w:rPr>
          <w:rFonts w:ascii="Arial" w:hAnsi="Arial"/>
          <w:b/>
          <w:color w:val="0284C7"/>
          <w:sz w:val="23"/>
        </w:rPr>
        <w:t>4.1 Emergency Reporting Categories</w:t>
      </w:r>
    </w:p>
    <w:p>
      <w:pPr>
        <w:spacing w:before="0" w:after="120" w:line="276" w:lineRule="auto"/>
      </w:pPr>
      <w:r>
        <w:rPr>
          <w:rFonts w:ascii="Arial" w:hAnsi="Arial"/>
          <w:color w:val="1E293B"/>
          <w:sz w:val="20"/>
        </w:rPr>
        <w:t>1. Lost or stolen corporate equipment (laptops, mobile devices).</w:t>
        <w:br/>
        <w:t>2. Suspected credential leaks or unexpected MFA prompt spam.</w:t>
        <w:br/>
        <w:t>3. Misdirected emails containing confidential or restricted client data.</w:t>
        <w:br/>
        <w:t>4. Endpoint malware, ransomware warnings, or unauthorized software installation.</w:t>
      </w:r>
    </w:p>
    <w:p>
      <w:pPr>
        <w:keepNext/>
        <w:spacing w:before="240" w:after="80"/>
      </w:pPr>
      <w:r>
        <w:rPr>
          <w:rFonts w:ascii="Arial" w:hAnsi="Arial"/>
          <w:b/>
          <w:color w:val="0284C7"/>
          <w:sz w:val="23"/>
        </w:rPr>
        <w:t>4.2 Incident Response Stages</w:t>
      </w:r>
    </w:p>
    <w:p>
      <w:pPr>
        <w:spacing w:before="0" w:after="120" w:line="276" w:lineRule="auto"/>
      </w:pPr>
      <w:r>
        <w:rPr>
          <w:rFonts w:ascii="Arial" w:hAnsi="Arial"/>
          <w:color w:val="1E293B"/>
          <w:sz w:val="20"/>
        </w:rPr>
        <w:t>When an incident is reported, the Cybersecurity Response Team executes a 4-phase containment protocol: (1) Triage &amp; System Isolation, (2) Root Cause Analysis (RCA), (3) Threat Remediation &amp; Eradication, and (4) Post-Mortem &amp; Regulatory Notification.</w:t>
      </w:r>
    </w:p>
    <w:p>
      <w:pPr>
        <w:keepNext/>
        <w:spacing w:before="320" w:after="120"/>
      </w:pPr>
      <w:r>
        <w:rPr>
          <w:rFonts w:ascii="Arial" w:hAnsi="Arial"/>
          <w:b/>
          <w:color w:val="0F172A"/>
          <w:sz w:val="28"/>
        </w:rPr>
        <w:t>5. Acceptable Use, Remote Work &amp; MDM Policies</w:t>
      </w:r>
    </w:p>
    <w:p>
      <w:pPr>
        <w:spacing w:before="0" w:after="120" w:line="276" w:lineRule="auto"/>
      </w:pPr>
      <w:r>
        <w:rPr>
          <w:rFonts w:ascii="Arial" w:hAnsi="Arial"/>
          <w:color w:val="1E293B"/>
          <w:sz w:val="20"/>
        </w:rPr>
        <w:t>Company hardware and network assets are provided primarily for professional operations. Unauthorized personal cloud storage tools (e.g., personal Google Drive, Dropbox, iCloud) are strictly blocked and prohibited for storing company assets.</w:t>
      </w:r>
    </w:p>
    <w:p>
      <w:pPr>
        <w:spacing w:before="0" w:after="120" w:line="276" w:lineRule="auto"/>
      </w:pPr>
      <w:r>
        <w:rPr>
          <w:rFonts w:ascii="Arial" w:hAnsi="Arial"/>
          <w:color w:val="1E293B"/>
          <w:sz w:val="20"/>
        </w:rPr>
        <w:t>Remote and hybrid employees must operate behind an enterprise VPN with active Endpoint Detection &amp; Response (EDR) agents installed. Workstations must be locked whenever left unattended, and screen filters must be applied when working in public spaces.</w:t>
      </w:r>
    </w:p>
    <w:p>
      <w:pPr>
        <w:keepNext/>
        <w:spacing w:before="320" w:after="120"/>
      </w:pPr>
      <w:r>
        <w:rPr>
          <w:rFonts w:ascii="Arial" w:hAnsi="Arial"/>
          <w:b/>
          <w:color w:val="0F172A"/>
          <w:sz w:val="28"/>
        </w:rPr>
        <w:t>6. Engineering &amp; Operations Cybersecurity Decision Matrix</w:t>
      </w:r>
    </w:p>
    <w:p>
      <w:pPr>
        <w:spacing w:before="0" w:after="120" w:line="276" w:lineRule="auto"/>
      </w:pPr>
      <w:r>
        <w:rPr>
          <w:rFonts w:ascii="Arial" w:hAnsi="Arial"/>
          <w:color w:val="1E293B"/>
          <w:sz w:val="20"/>
        </w:rPr>
        <w:t>This decision matrix provides direct, actionable guidance for common security scenarios:</w:t>
      </w:r>
    </w:p>
    <w:p>
      <w:pPr>
        <w:spacing w:before="0" w:after="120" w:line="276" w:lineRule="auto"/>
      </w:pPr>
      <w:r>
        <w:rPr>
          <w:rFonts w:ascii="Arial" w:hAnsi="Arial"/>
          <w:color w:val="1E293B"/>
          <w:sz w:val="20"/>
        </w:rPr>
        <w:t>Question: What should I do if I accidentally send a confidential file to an external recipient?</w:t>
      </w:r>
    </w:p>
    <w:p>
      <w:pPr>
        <w:spacing w:before="0" w:after="120" w:line="276" w:lineRule="auto"/>
      </w:pPr>
      <w:r>
        <w:rPr>
          <w:rFonts w:ascii="Arial" w:hAnsi="Arial"/>
          <w:color w:val="1E293B"/>
          <w:sz w:val="20"/>
        </w:rPr>
        <w:t>Answer: Report it immediately to the Cybersecurity Reporting Portal. Do not attempt to hide or resolve it quietly.</w:t>
      </w:r>
    </w:p>
    <w:p>
      <w:pPr>
        <w:spacing w:before="0" w:after="120" w:line="276" w:lineRule="auto"/>
      </w:pPr>
      <w:r>
        <w:rPr>
          <w:rFonts w:ascii="Arial" w:hAnsi="Arial"/>
          <w:color w:val="1E293B"/>
          <w:sz w:val="20"/>
        </w:rPr>
        <w:t>Question: Can I store client code on my personal cloud drive for convenience?</w:t>
      </w:r>
    </w:p>
    <w:p>
      <w:pPr>
        <w:spacing w:before="0" w:after="120" w:line="276" w:lineRule="auto"/>
      </w:pPr>
      <w:r>
        <w:rPr>
          <w:rFonts w:ascii="Arial" w:hAnsi="Arial"/>
          <w:color w:val="1E293B"/>
          <w:sz w:val="20"/>
        </w:rPr>
        <w:t>Answer: No. Storing company or client assets on personal cloud storage is strictly prohibited.</w:t>
      </w:r>
    </w:p>
    <w:p>
      <w:pPr>
        <w:spacing w:before="0" w:after="120" w:line="276" w:lineRule="auto"/>
      </w:pPr>
      <w:r>
        <w:rPr>
          <w:rFonts w:ascii="Arial" w:hAnsi="Arial"/>
          <w:color w:val="1E293B"/>
          <w:sz w:val="20"/>
        </w:rPr>
        <w:t>Question: Who approves access requests to Restricted classification data?</w:t>
      </w:r>
    </w:p>
    <w:p>
      <w:pPr>
        <w:spacing w:before="0" w:after="120" w:line="276" w:lineRule="auto"/>
      </w:pPr>
      <w:r>
        <w:rPr>
          <w:rFonts w:ascii="Arial" w:hAnsi="Arial"/>
          <w:color w:val="1E293B"/>
          <w:sz w:val="20"/>
        </w:rPr>
        <w:t>Answer: Access requires dual approval from both the Project Lead and the Cybersecurity Department.</w:t>
      </w:r>
    </w:p>
    <w:p>
      <w:pPr>
        <w:spacing w:before="0" w:after="120" w:line="276" w:lineRule="auto"/>
      </w:pPr>
      <w:r>
        <w:rPr>
          <w:rFonts w:ascii="Arial" w:hAnsi="Arial"/>
          <w:color w:val="1E293B"/>
          <w:sz w:val="20"/>
        </w:rPr>
        <w:t>Question: What happens if I fail a simulated phishing exercise?</w:t>
      </w:r>
    </w:p>
    <w:p>
      <w:pPr>
        <w:spacing w:before="0" w:after="120" w:line="276" w:lineRule="auto"/>
      </w:pPr>
      <w:r>
        <w:rPr>
          <w:rFonts w:ascii="Arial" w:hAnsi="Arial"/>
          <w:color w:val="1E293B"/>
          <w:sz w:val="20"/>
        </w:rPr>
        <w:t>Answer: You will be automatically assigned mandatory remedial security awareness training.</w:t>
      </w:r>
    </w:p>
    <w:p>
      <w:pPr>
        <w:spacing w:before="0" w:after="120" w:line="276" w:lineRule="auto"/>
      </w:pPr>
      <w:r>
        <w:rPr>
          <w:rFonts w:ascii="Arial" w:hAnsi="Arial"/>
          <w:color w:val="1E293B"/>
          <w:sz w:val="20"/>
        </w:rPr>
        <w:t>Question: Are contractors subject to the same acceptable use and confidentiality policies?</w:t>
      </w:r>
    </w:p>
    <w:p>
      <w:pPr>
        <w:spacing w:before="0" w:after="120" w:line="276" w:lineRule="auto"/>
      </w:pPr>
      <w:r>
        <w:rPr>
          <w:rFonts w:ascii="Arial" w:hAnsi="Arial"/>
          <w:color w:val="1E293B"/>
          <w:sz w:val="20"/>
        </w:rPr>
        <w:t>Answer: Yes. All contractors and third-party vendors must sign non-disclosure agreements and comply with all cybersecurity standards.</w:t>
      </w:r>
    </w:p>
    <w:p>
      <w:pPr>
        <w:keepNext/>
        <w:spacing w:before="320" w:after="120"/>
      </w:pPr>
      <w:r>
        <w:rPr>
          <w:rFonts w:ascii="Arial" w:hAnsi="Arial"/>
          <w:b/>
          <w:color w:val="0F172A"/>
          <w:sz w:val="28"/>
        </w:rPr>
        <w:t>7. Frequently Asked Questions (Standard 30 FAQs)</w:t>
      </w:r>
    </w:p>
    <w:p>
      <w:pPr>
        <w:spacing w:before="0" w:after="120" w:line="276" w:lineRule="auto"/>
      </w:pPr>
      <w:r>
        <w:rPr>
          <w:rFonts w:ascii="Arial" w:hAnsi="Arial"/>
          <w:color w:val="1E293B"/>
          <w:sz w:val="20"/>
        </w:rPr>
        <w:t>1. What are the four data classification categories? Public, Internal, Confidential, and Restricted.</w:t>
      </w:r>
    </w:p>
    <w:p>
      <w:pPr>
        <w:spacing w:before="0" w:after="120" w:line="276" w:lineRule="auto"/>
      </w:pPr>
      <w:r>
        <w:rPr>
          <w:rFonts w:ascii="Arial" w:hAnsi="Arial"/>
          <w:color w:val="1E293B"/>
          <w:sz w:val="20"/>
        </w:rPr>
        <w:t>2. Who can access Restricted classification data? Only authorized personnel approved by both the project lead and Cybersecurity.</w:t>
      </w:r>
    </w:p>
    <w:p>
      <w:pPr>
        <w:spacing w:before="0" w:after="120" w:line="276" w:lineRule="auto"/>
      </w:pPr>
      <w:r>
        <w:rPr>
          <w:rFonts w:ascii="Arial" w:hAnsi="Arial"/>
          <w:color w:val="1E293B"/>
          <w:sz w:val="20"/>
        </w:rPr>
        <w:t>3. What should I do if I receive a suspicious email? Click the Phishing Report Button in your email client immediately.</w:t>
      </w:r>
    </w:p>
    <w:p>
      <w:pPr>
        <w:spacing w:before="0" w:after="120" w:line="276" w:lineRule="auto"/>
      </w:pPr>
      <w:r>
        <w:rPr>
          <w:rFonts w:ascii="Arial" w:hAnsi="Arial"/>
          <w:color w:val="1E293B"/>
          <w:sz w:val="20"/>
        </w:rPr>
        <w:t>4. What happens if I fail a simulated phishing test? You will be required to complete additional mandatory security training.</w:t>
      </w:r>
    </w:p>
    <w:p>
      <w:pPr>
        <w:spacing w:before="0" w:after="120" w:line="276" w:lineRule="auto"/>
      </w:pPr>
      <w:r>
        <w:rPr>
          <w:rFonts w:ascii="Arial" w:hAnsi="Arial"/>
          <w:color w:val="1E293B"/>
          <w:sz w:val="20"/>
        </w:rPr>
        <w:t>5. How often must passwords be changed? Every 90 days, enforced automatically by identity software.</w:t>
      </w:r>
    </w:p>
    <w:p>
      <w:pPr>
        <w:spacing w:before="0" w:after="120" w:line="276" w:lineRule="auto"/>
      </w:pPr>
      <w:r>
        <w:rPr>
          <w:rFonts w:ascii="Arial" w:hAnsi="Arial"/>
          <w:color w:val="1E293B"/>
          <w:sz w:val="20"/>
        </w:rPr>
        <w:t>6. Can I share my password with my manager or IT support? No. Staff will never ask for your password under any circumstance.</w:t>
      </w:r>
    </w:p>
    <w:p>
      <w:pPr>
        <w:spacing w:before="0" w:after="120" w:line="276" w:lineRule="auto"/>
      </w:pPr>
      <w:r>
        <w:rPr>
          <w:rFonts w:ascii="Arial" w:hAnsi="Arial"/>
          <w:color w:val="1E293B"/>
          <w:sz w:val="20"/>
        </w:rPr>
        <w:t>7. How do I report a security incident? Through the internal security incident reporting portal immediately upon discovery.</w:t>
      </w:r>
    </w:p>
    <w:p>
      <w:pPr>
        <w:spacing w:before="0" w:after="120" w:line="276" w:lineRule="auto"/>
      </w:pPr>
      <w:r>
        <w:rPr>
          <w:rFonts w:ascii="Arial" w:hAnsi="Arial"/>
          <w:color w:val="1E293B"/>
          <w:sz w:val="20"/>
        </w:rPr>
        <w:t>8. What constitutes a security violation? Sharing credentials, disabling security tools, unauthorized data transfers, or failing to report known incidents.</w:t>
      </w:r>
    </w:p>
    <w:p>
      <w:pPr>
        <w:spacing w:before="0" w:after="120" w:line="276" w:lineRule="auto"/>
      </w:pPr>
      <w:r>
        <w:rPr>
          <w:rFonts w:ascii="Arial" w:hAnsi="Arial"/>
          <w:color w:val="1E293B"/>
          <w:sz w:val="20"/>
        </w:rPr>
        <w:t>9. What are the consequences of a security violation? Consequences range from mandatory retraining to employment termination and legal action.</w:t>
      </w:r>
    </w:p>
    <w:p>
      <w:pPr>
        <w:spacing w:before="0" w:after="120" w:line="276" w:lineRule="auto"/>
      </w:pPr>
      <w:r>
        <w:rPr>
          <w:rFonts w:ascii="Arial" w:hAnsi="Arial"/>
          <w:color w:val="1E293B"/>
          <w:sz w:val="20"/>
        </w:rPr>
        <w:t>10. Can I store client data on personal cloud drives? No, personal cloud storage is strictly prohibited.</w:t>
      </w:r>
    </w:p>
    <w:p>
      <w:pPr>
        <w:spacing w:before="0" w:after="120" w:line="276" w:lineRule="auto"/>
      </w:pPr>
      <w:r>
        <w:rPr>
          <w:rFonts w:ascii="Arial" w:hAnsi="Arial"/>
          <w:color w:val="1E293B"/>
          <w:sz w:val="20"/>
        </w:rPr>
        <w:t>11. Is cybersecurity training mandatory? Yes, annual cybersecurity awareness training is required for all employees.</w:t>
      </w:r>
    </w:p>
    <w:p>
      <w:pPr>
        <w:spacing w:before="0" w:after="120" w:line="276" w:lineRule="auto"/>
      </w:pPr>
      <w:r>
        <w:rPr>
          <w:rFonts w:ascii="Arial" w:hAnsi="Arial"/>
          <w:color w:val="1E293B"/>
          <w:sz w:val="20"/>
        </w:rPr>
        <w:t>12. What should I do if my laptop is stolen? Notify Cybersecurity and IT Support immediately so remote wipe commands can be issued.</w:t>
      </w:r>
    </w:p>
    <w:p>
      <w:pPr>
        <w:spacing w:before="0" w:after="120" w:line="276" w:lineRule="auto"/>
      </w:pPr>
      <w:r>
        <w:rPr>
          <w:rFonts w:ascii="Arial" w:hAnsi="Arial"/>
          <w:color w:val="1E293B"/>
          <w:sz w:val="20"/>
        </w:rPr>
        <w:t>13. Can I discuss client projects with family or friends? No, doing so is a direct violation of your non-disclosure agreement.</w:t>
      </w:r>
    </w:p>
    <w:p>
      <w:pPr>
        <w:spacing w:before="0" w:after="120" w:line="276" w:lineRule="auto"/>
      </w:pPr>
      <w:r>
        <w:rPr>
          <w:rFonts w:ascii="Arial" w:hAnsi="Arial"/>
          <w:color w:val="1E293B"/>
          <w:sz w:val="20"/>
        </w:rPr>
        <w:t>14. Do interns sign confidentiality agreements? Yes, all interns sign binding non-disclosure agreements before receiving equipment.</w:t>
      </w:r>
    </w:p>
    <w:p>
      <w:pPr>
        <w:spacing w:before="0" w:after="120" w:line="276" w:lineRule="auto"/>
      </w:pPr>
      <w:r>
        <w:rPr>
          <w:rFonts w:ascii="Arial" w:hAnsi="Arial"/>
          <w:color w:val="1E293B"/>
          <w:sz w:val="20"/>
        </w:rPr>
        <w:t>15. Do contractors follow the Acceptable Use Policy? Yes, all third-party contractors must adhere to corporate security policies.</w:t>
      </w:r>
    </w:p>
    <w:p>
      <w:pPr>
        <w:spacing w:before="0" w:after="120" w:line="276" w:lineRule="auto"/>
      </w:pPr>
      <w:r>
        <w:rPr>
          <w:rFonts w:ascii="Arial" w:hAnsi="Arial"/>
          <w:color w:val="1E293B"/>
          <w:sz w:val="20"/>
        </w:rPr>
        <w:t>16. What is the Acceptable Use Policy? The governing policy defining appropriate use of corporate assets, networks, and software.</w:t>
      </w:r>
    </w:p>
    <w:p>
      <w:pPr>
        <w:spacing w:before="0" w:after="120" w:line="276" w:lineRule="auto"/>
      </w:pPr>
      <w:r>
        <w:rPr>
          <w:rFonts w:ascii="Arial" w:hAnsi="Arial"/>
          <w:color w:val="1E293B"/>
          <w:sz w:val="20"/>
        </w:rPr>
        <w:t>17. What data protection frameworks does Series Tech Limited follow? Applicable regional regulations including GDPR, DPDP Act, and client compliance mandates.</w:t>
      </w:r>
    </w:p>
    <w:p>
      <w:pPr>
        <w:spacing w:before="0" w:after="120" w:line="276" w:lineRule="auto"/>
      </w:pPr>
      <w:r>
        <w:rPr>
          <w:rFonts w:ascii="Arial" w:hAnsi="Arial"/>
          <w:color w:val="1E293B"/>
          <w:sz w:val="20"/>
        </w:rPr>
        <w:t>18. Who investigates reported security breaches? The Cybersecurity department in coordination with Human Resources and Legal counsel.</w:t>
      </w:r>
    </w:p>
    <w:p>
      <w:pPr>
        <w:spacing w:before="0" w:after="120" w:line="276" w:lineRule="auto"/>
      </w:pPr>
      <w:r>
        <w:rPr>
          <w:rFonts w:ascii="Arial" w:hAnsi="Arial"/>
          <w:color w:val="1E293B"/>
          <w:sz w:val="20"/>
        </w:rPr>
        <w:t>19. What is the minimum password length? 12 characters with mixed case, numbers, and special symbols.</w:t>
      </w:r>
    </w:p>
    <w:p>
      <w:pPr>
        <w:spacing w:before="0" w:after="120" w:line="276" w:lineRule="auto"/>
      </w:pPr>
      <w:r>
        <w:rPr>
          <w:rFonts w:ascii="Arial" w:hAnsi="Arial"/>
          <w:color w:val="1E293B"/>
          <w:sz w:val="20"/>
        </w:rPr>
        <w:t>20. Can I access data outside my project scope? No, access beyond your assigned role violates the principle of least privilege.</w:t>
      </w:r>
    </w:p>
    <w:p>
      <w:pPr>
        <w:spacing w:before="0" w:after="120" w:line="276" w:lineRule="auto"/>
      </w:pPr>
      <w:r>
        <w:rPr>
          <w:rFonts w:ascii="Arial" w:hAnsi="Arial"/>
          <w:color w:val="1E293B"/>
          <w:sz w:val="20"/>
        </w:rPr>
        <w:t>21. What should I do if a colleague requests my credentials? Refuse the request and report the credential sharing attempt to Cybersecurity.</w:t>
      </w:r>
    </w:p>
    <w:p>
      <w:pPr>
        <w:spacing w:before="0" w:after="120" w:line="276" w:lineRule="auto"/>
      </w:pPr>
      <w:r>
        <w:rPr>
          <w:rFonts w:ascii="Arial" w:hAnsi="Arial"/>
          <w:color w:val="1E293B"/>
          <w:sz w:val="20"/>
        </w:rPr>
        <w:t>22. Are there special compliance rules for banking or healthcare projects? Yes, client-specific guidelines (e.g., PCI-DSS, HIPAA, ISO 27001) apply as detailed in project documentation.</w:t>
      </w:r>
    </w:p>
    <w:p>
      <w:pPr>
        <w:spacing w:before="0" w:after="120" w:line="276" w:lineRule="auto"/>
      </w:pPr>
      <w:r>
        <w:rPr>
          <w:rFonts w:ascii="Arial" w:hAnsi="Arial"/>
          <w:color w:val="1E293B"/>
          <w:sz w:val="20"/>
        </w:rPr>
        <w:t>23. Who approves exceptions to the security policy? The Cybersecurity department must review and formally approve all exceptions.</w:t>
      </w:r>
    </w:p>
    <w:p>
      <w:pPr>
        <w:spacing w:before="0" w:after="120" w:line="276" w:lineRule="auto"/>
      </w:pPr>
      <w:r>
        <w:rPr>
          <w:rFonts w:ascii="Arial" w:hAnsi="Arial"/>
          <w:color w:val="1E293B"/>
          <w:sz w:val="20"/>
        </w:rPr>
        <w:t>24. What happens if I miss mandatory security training? System access may be suspended until training compliance is restored.</w:t>
      </w:r>
    </w:p>
    <w:p>
      <w:pPr>
        <w:spacing w:before="0" w:after="120" w:line="276" w:lineRule="auto"/>
      </w:pPr>
      <w:r>
        <w:rPr>
          <w:rFonts w:ascii="Arial" w:hAnsi="Arial"/>
          <w:color w:val="1E293B"/>
          <w:sz w:val="20"/>
        </w:rPr>
        <w:t>25. How quickly should security incidents be reported? Immediately upon discovery, without delay.</w:t>
      </w:r>
    </w:p>
    <w:p>
      <w:pPr>
        <w:spacing w:before="0" w:after="120" w:line="276" w:lineRule="auto"/>
      </w:pPr>
      <w:r>
        <w:rPr>
          <w:rFonts w:ascii="Arial" w:hAnsi="Arial"/>
          <w:color w:val="1E293B"/>
          <w:sz w:val="20"/>
        </w:rPr>
        <w:t>26. Is protecting intellectual property a legal obligation? Yes, employees have a legal responsibility to safeguard company and client IP.</w:t>
      </w:r>
    </w:p>
    <w:p>
      <w:pPr>
        <w:spacing w:before="0" w:after="120" w:line="276" w:lineRule="auto"/>
      </w:pPr>
      <w:r>
        <w:rPr>
          <w:rFonts w:ascii="Arial" w:hAnsi="Arial"/>
          <w:color w:val="1E293B"/>
          <w:sz w:val="20"/>
        </w:rPr>
        <w:t>27. Can corporate assets be used for personal/unauthorized activities? No, enterprise systems must be used strictly for authorized business operations.</w:t>
      </w:r>
    </w:p>
    <w:p>
      <w:pPr>
        <w:spacing w:before="0" w:after="120" w:line="276" w:lineRule="auto"/>
      </w:pPr>
      <w:r>
        <w:rPr>
          <w:rFonts w:ascii="Arial" w:hAnsi="Arial"/>
          <w:color w:val="1E293B"/>
          <w:sz w:val="20"/>
        </w:rPr>
        <w:t>28. What happens if I accidentally leak data? Report the event immediately via the Incident Reporting Portal to minimize impact.</w:t>
      </w:r>
    </w:p>
    <w:p>
      <w:pPr>
        <w:spacing w:before="0" w:after="120" w:line="276" w:lineRule="auto"/>
      </w:pPr>
      <w:r>
        <w:rPr>
          <w:rFonts w:ascii="Arial" w:hAnsi="Arial"/>
          <w:color w:val="1E293B"/>
          <w:sz w:val="20"/>
        </w:rPr>
        <w:t>29. Who conducts phishing awareness drills? The Cybersecurity Department conducts regular unannounced simulated drills.</w:t>
      </w:r>
    </w:p>
    <w:p>
      <w:pPr>
        <w:spacing w:before="0" w:after="120" w:line="276" w:lineRule="auto"/>
      </w:pPr>
      <w:r>
        <w:rPr>
          <w:rFonts w:ascii="Arial" w:hAnsi="Arial"/>
          <w:color w:val="1E293B"/>
          <w:sz w:val="20"/>
        </w:rPr>
        <w:t>30. What is classified as Restricted data? High-sensitivity assets including source code, API keys, client PII, and penetration test reports.</w:t>
      </w:r>
    </w:p>
    <w:p>
      <w:pPr>
        <w:keepNext/>
        <w:spacing w:before="320" w:after="120"/>
      </w:pPr>
      <w:r>
        <w:rPr>
          <w:rFonts w:ascii="Arial" w:hAnsi="Arial"/>
          <w:b/>
          <w:color w:val="0F172A"/>
          <w:sz w:val="28"/>
        </w:rPr>
        <w:t>8. Document Control &amp; Revision History</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rFonts w:ascii="Arial" w:hAnsi="Arial"/>
                <w:b/>
                <w:color w:val="FFFFFF"/>
                <w:sz w:val="18"/>
              </w:rPr>
              <w:t>Version</w:t>
            </w:r>
          </w:p>
        </w:tc>
        <w:tc>
          <w:tcPr>
            <w:tcW w:type="dxa" w:w="2340"/>
            <w:shd w:fill="0F172A"/>
          </w:tcPr>
          <w:p>
            <w:r>
              <w:rPr>
                <w:rFonts w:ascii="Arial" w:hAnsi="Arial"/>
                <w:b/>
                <w:color w:val="FFFFFF"/>
                <w:sz w:val="18"/>
              </w:rPr>
              <w:t>Effective Date</w:t>
            </w:r>
          </w:p>
        </w:tc>
        <w:tc>
          <w:tcPr>
            <w:tcW w:type="dxa" w:w="2340"/>
            <w:shd w:fill="0F172A"/>
          </w:tcPr>
          <w:p>
            <w:r>
              <w:rPr>
                <w:rFonts w:ascii="Arial" w:hAnsi="Arial"/>
                <w:b/>
                <w:color w:val="FFFFFF"/>
                <w:sz w:val="18"/>
              </w:rPr>
              <w:t>Summary of Changes</w:t>
            </w:r>
          </w:p>
        </w:tc>
        <w:tc>
          <w:tcPr>
            <w:tcW w:type="dxa" w:w="2340"/>
            <w:shd w:fill="0F172A"/>
          </w:tcPr>
          <w:p>
            <w:r>
              <w:rPr>
                <w:rFonts w:ascii="Arial" w:hAnsi="Arial"/>
                <w:b/>
                <w:color w:val="FFFFFF"/>
                <w:sz w:val="18"/>
              </w:rPr>
              <w:t>Approved By</w:t>
            </w:r>
          </w:p>
        </w:tc>
      </w:tr>
      <w:tr>
        <w:tc>
          <w:tcPr>
            <w:tcW w:type="dxa" w:w="2340"/>
            <w:shd w:fill="F8FAFC"/>
          </w:tcPr>
          <w:p>
            <w:r>
              <w:rPr>
                <w:rFonts w:ascii="Arial" w:hAnsi="Arial"/>
                <w:color w:val="1E293B"/>
                <w:sz w:val="17"/>
              </w:rPr>
              <w:t>1.0</w:t>
            </w:r>
          </w:p>
        </w:tc>
        <w:tc>
          <w:tcPr>
            <w:tcW w:type="dxa" w:w="2340"/>
            <w:shd w:fill="F8FAFC"/>
          </w:tcPr>
          <w:p>
            <w:r>
              <w:rPr>
                <w:rFonts w:ascii="Arial" w:hAnsi="Arial"/>
                <w:color w:val="1E293B"/>
                <w:sz w:val="17"/>
              </w:rPr>
              <w:t>January 2025</w:t>
            </w:r>
          </w:p>
        </w:tc>
        <w:tc>
          <w:tcPr>
            <w:tcW w:type="dxa" w:w="2340"/>
            <w:shd w:fill="F8FAFC"/>
          </w:tcPr>
          <w:p>
            <w:r>
              <w:rPr>
                <w:rFonts w:ascii="Arial" w:hAnsi="Arial"/>
                <w:color w:val="1E293B"/>
                <w:sz w:val="17"/>
              </w:rPr>
              <w:t>Initial Publication of Corporate Security Policy</w:t>
            </w:r>
          </w:p>
        </w:tc>
        <w:tc>
          <w:tcPr>
            <w:tcW w:type="dxa" w:w="2340"/>
            <w:shd w:fill="F8FAFC"/>
          </w:tcPr>
          <w:p>
            <w:r>
              <w:rPr>
                <w:rFonts w:ascii="Arial" w:hAnsi="Arial"/>
                <w:color w:val="1E293B"/>
                <w:sz w:val="17"/>
              </w:rPr>
              <w:t>Head of Cybersecurity</w:t>
            </w:r>
          </w:p>
        </w:tc>
      </w:tr>
      <w:tr>
        <w:tc>
          <w:tcPr>
            <w:tcW w:type="dxa" w:w="2340"/>
            <w:shd w:fill="FFFFFF"/>
          </w:tcPr>
          <w:p>
            <w:r>
              <w:rPr>
                <w:rFonts w:ascii="Arial" w:hAnsi="Arial"/>
                <w:color w:val="1E293B"/>
                <w:sz w:val="17"/>
              </w:rPr>
              <w:t>2.0</w:t>
            </w:r>
          </w:p>
        </w:tc>
        <w:tc>
          <w:tcPr>
            <w:tcW w:type="dxa" w:w="2340"/>
            <w:shd w:fill="FFFFFF"/>
          </w:tcPr>
          <w:p>
            <w:r>
              <w:rPr>
                <w:rFonts w:ascii="Arial" w:hAnsi="Arial"/>
                <w:color w:val="1E293B"/>
                <w:sz w:val="17"/>
              </w:rPr>
              <w:t>July 2026</w:t>
            </w:r>
          </w:p>
        </w:tc>
        <w:tc>
          <w:tcPr>
            <w:tcW w:type="dxa" w:w="2340"/>
            <w:shd w:fill="FFFFFF"/>
          </w:tcPr>
          <w:p>
            <w:r>
              <w:rPr>
                <w:rFonts w:ascii="Arial" w:hAnsi="Arial"/>
                <w:color w:val="1E293B"/>
                <w:sz w:val="17"/>
              </w:rPr>
              <w:t>Major Update: Added MDM protocols, decision matrix, multi-factor guidelines, and expanded incident lifecycle.</w:t>
            </w:r>
          </w:p>
        </w:tc>
        <w:tc>
          <w:tcPr>
            <w:tcW w:type="dxa" w:w="2340"/>
            <w:shd w:fill="FFFFFF"/>
          </w:tcPr>
          <w:p>
            <w:r>
              <w:rPr>
                <w:rFonts w:ascii="Arial" w:hAnsi="Arial"/>
                <w:color w:val="1E293B"/>
                <w:sz w:val="17"/>
              </w:rPr>
              <w:t>Cybersecurity Architecture Board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