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Series Tech Limited</w:t>
      </w:r>
    </w:p>
    <w:p>
      <w:pPr>
        <w:spacing w:before="0" w:after="360"/>
      </w:pPr>
      <w:r>
        <w:rPr>
          <w:rFonts w:ascii="Arial" w:hAnsi="Arial"/>
          <w:b/>
          <w:color w:val="0284C7"/>
          <w:sz w:val="24"/>
        </w:rPr>
        <w:t>Production-Ready Enterprise Employee Lifecycle Handbook &amp; Governance Manual (v2.3)</w:t>
      </w:r>
    </w:p>
    <w:p>
      <w:pPr>
        <w:keepNext/>
        <w:spacing w:before="320" w:after="120"/>
      </w:pPr>
      <w:r>
        <w:rPr>
          <w:rFonts w:ascii="Arial" w:hAnsi="Arial"/>
          <w:b/>
          <w:color w:val="0F172A"/>
          <w:sz w:val="24"/>
        </w:rPr>
        <w:t>DOCUMENT METADATA</w:t>
      </w:r>
    </w:p>
    <w:tbl>
      <w:tblPr>
        <w:tblW w:type="auto" w:w="0"/>
        <w:jc w:val="center"/>
        <w:tblLook w:firstColumn="1" w:firstRow="1" w:lastColumn="0" w:lastRow="0" w:noHBand="0" w:noVBand="1" w:val="04A0"/>
      </w:tblPr>
      <w:tblGrid>
        <w:gridCol w:w="4680"/>
        <w:gridCol w:w="4680"/>
      </w:tblGrid>
      <w:tr>
        <w:tc>
          <w:tcPr>
            <w:tcW w:type="dxa" w:w="4680"/>
            <w:shd w:fill="0F172A"/>
          </w:tcPr>
          <w:p>
            <w:r>
              <w:rPr>
                <w:rFonts w:ascii="Arial" w:hAnsi="Arial"/>
                <w:b/>
                <w:color w:val="FFFFFF"/>
                <w:sz w:val="17"/>
              </w:rPr>
              <w:t>Metadata Attribute</w:t>
            </w:r>
          </w:p>
        </w:tc>
        <w:tc>
          <w:tcPr>
            <w:tcW w:type="dxa" w:w="4680"/>
            <w:shd w:fill="0F172A"/>
          </w:tcPr>
          <w:p>
            <w:r>
              <w:rPr>
                <w:rFonts w:ascii="Arial" w:hAnsi="Arial"/>
                <w:b/>
                <w:color w:val="FFFFFF"/>
                <w:sz w:val="17"/>
              </w:rPr>
              <w:t>System Value / Specification</w:t>
            </w:r>
          </w:p>
        </w:tc>
      </w:tr>
      <w:tr>
        <w:tc>
          <w:tcPr>
            <w:tcW w:type="dxa" w:w="4680"/>
            <w:shd w:fill="F8FAFC"/>
          </w:tcPr>
          <w:p>
            <w:r>
              <w:rPr>
                <w:rFonts w:ascii="Arial" w:hAnsi="Arial"/>
                <w:color w:val="1E293B"/>
                <w:sz w:val="16"/>
              </w:rPr>
              <w:t>Document ID</w:t>
            </w:r>
          </w:p>
        </w:tc>
        <w:tc>
          <w:tcPr>
            <w:tcW w:type="dxa" w:w="4680"/>
            <w:shd w:fill="F8FAFC"/>
          </w:tcPr>
          <w:p>
            <w:r>
              <w:rPr>
                <w:rFonts w:ascii="Arial" w:hAnsi="Arial"/>
                <w:color w:val="1E293B"/>
                <w:sz w:val="16"/>
              </w:rPr>
              <w:t>EMP-LIFECYCLE-002</w:t>
            </w:r>
          </w:p>
        </w:tc>
      </w:tr>
      <w:tr>
        <w:tc>
          <w:tcPr>
            <w:tcW w:type="dxa" w:w="4680"/>
            <w:shd w:fill="FFFFFF"/>
          </w:tcPr>
          <w:p>
            <w:r>
              <w:rPr>
                <w:rFonts w:ascii="Arial" w:hAnsi="Arial"/>
                <w:color w:val="1E293B"/>
                <w:sz w:val="16"/>
              </w:rPr>
              <w:t>Document Name</w:t>
            </w:r>
          </w:p>
        </w:tc>
        <w:tc>
          <w:tcPr>
            <w:tcW w:type="dxa" w:w="4680"/>
            <w:shd w:fill="FFFFFF"/>
          </w:tcPr>
          <w:p>
            <w:r>
              <w:rPr>
                <w:rFonts w:ascii="Arial" w:hAnsi="Arial"/>
                <w:color w:val="1E293B"/>
                <w:sz w:val="16"/>
              </w:rPr>
              <w:t>Employee Lifecycle Handbook &amp; Governance Manual</w:t>
            </w:r>
          </w:p>
        </w:tc>
      </w:tr>
      <w:tr>
        <w:tc>
          <w:tcPr>
            <w:tcW w:type="dxa" w:w="4680"/>
            <w:shd w:fill="F8FAFC"/>
          </w:tcPr>
          <w:p>
            <w:r>
              <w:rPr>
                <w:rFonts w:ascii="Arial" w:hAnsi="Arial"/>
                <w:color w:val="1E293B"/>
                <w:sz w:val="16"/>
              </w:rPr>
              <w:t>Version &amp; Status</w:t>
            </w:r>
          </w:p>
        </w:tc>
        <w:tc>
          <w:tcPr>
            <w:tcW w:type="dxa" w:w="4680"/>
            <w:shd w:fill="F8FAFC"/>
          </w:tcPr>
          <w:p>
            <w:r>
              <w:rPr>
                <w:rFonts w:ascii="Arial" w:hAnsi="Arial"/>
                <w:color w:val="1E293B"/>
                <w:sz w:val="16"/>
              </w:rPr>
              <w:t>Version 2.3 (Active / Production-Ready Final)</w:t>
            </w:r>
          </w:p>
        </w:tc>
      </w:tr>
      <w:tr>
        <w:tc>
          <w:tcPr>
            <w:tcW w:type="dxa" w:w="4680"/>
            <w:shd w:fill="FFFFFF"/>
          </w:tcPr>
          <w:p>
            <w:r>
              <w:rPr>
                <w:rFonts w:ascii="Arial" w:hAnsi="Arial"/>
                <w:color w:val="1E293B"/>
                <w:sz w:val="16"/>
              </w:rPr>
              <w:t>Effective Date &amp; Owner</w:t>
            </w:r>
          </w:p>
        </w:tc>
        <w:tc>
          <w:tcPr>
            <w:tcW w:type="dxa" w:w="4680"/>
            <w:shd w:fill="FFFFFF"/>
          </w:tcPr>
          <w:p>
            <w:r>
              <w:rPr>
                <w:rFonts w:ascii="Arial" w:hAnsi="Arial"/>
                <w:color w:val="1E293B"/>
                <w:sz w:val="16"/>
              </w:rPr>
              <w:t>July 2026 | Head of Human Resources</w:t>
            </w:r>
          </w:p>
        </w:tc>
      </w:tr>
      <w:tr>
        <w:tc>
          <w:tcPr>
            <w:tcW w:type="dxa" w:w="4680"/>
            <w:shd w:fill="F8FAFC"/>
          </w:tcPr>
          <w:p>
            <w:r>
              <w:rPr>
                <w:rFonts w:ascii="Arial" w:hAnsi="Arial"/>
                <w:color w:val="1E293B"/>
                <w:sz w:val="16"/>
              </w:rPr>
              <w:t>Approved By</w:t>
            </w:r>
          </w:p>
        </w:tc>
        <w:tc>
          <w:tcPr>
            <w:tcW w:type="dxa" w:w="4680"/>
            <w:shd w:fill="F8FAFC"/>
          </w:tcPr>
          <w:p>
            <w:r>
              <w:rPr>
                <w:rFonts w:ascii="Arial" w:hAnsi="Arial"/>
                <w:color w:val="1E293B"/>
                <w:sz w:val="16"/>
              </w:rPr>
              <w:t>HR &amp; Executive Board</w:t>
            </w:r>
          </w:p>
        </w:tc>
      </w:tr>
      <w:tr>
        <w:tc>
          <w:tcPr>
            <w:tcW w:type="dxa" w:w="4680"/>
            <w:shd w:fill="FFFFFF"/>
          </w:tcPr>
          <w:p>
            <w:r>
              <w:rPr>
                <w:rFonts w:ascii="Arial" w:hAnsi="Arial"/>
                <w:color w:val="1E293B"/>
                <w:sz w:val="16"/>
              </w:rPr>
              <w:t>Classification</w:t>
            </w:r>
          </w:p>
        </w:tc>
        <w:tc>
          <w:tcPr>
            <w:tcW w:type="dxa" w:w="4680"/>
            <w:shd w:fill="FFFFFF"/>
          </w:tcPr>
          <w:p>
            <w:r>
              <w:rPr>
                <w:rFonts w:ascii="Arial" w:hAnsi="Arial"/>
                <w:color w:val="1E293B"/>
                <w:sz w:val="16"/>
              </w:rPr>
              <w:t>Confidential / Restricted</w:t>
            </w:r>
          </w:p>
        </w:tc>
      </w:tr>
      <w:tr>
        <w:tc>
          <w:tcPr>
            <w:tcW w:type="dxa" w:w="4680"/>
            <w:shd w:fill="F8FAFC"/>
          </w:tcPr>
          <w:p>
            <w:r>
              <w:rPr>
                <w:rFonts w:ascii="Arial" w:hAnsi="Arial"/>
                <w:color w:val="1E293B"/>
                <w:sz w:val="16"/>
              </w:rPr>
              <w:t>Review Frequency</w:t>
            </w:r>
          </w:p>
        </w:tc>
        <w:tc>
          <w:tcPr>
            <w:tcW w:type="dxa" w:w="4680"/>
            <w:shd w:fill="F8FAFC"/>
          </w:tcPr>
          <w:p>
            <w:r>
              <w:rPr>
                <w:rFonts w:ascii="Arial" w:hAnsi="Arial"/>
                <w:color w:val="1E293B"/>
                <w:sz w:val="16"/>
              </w:rPr>
              <w:t>Annually or upon major policy changes</w:t>
            </w:r>
          </w:p>
        </w:tc>
      </w:tr>
      <w:tr>
        <w:tc>
          <w:tcPr>
            <w:tcW w:type="dxa" w:w="4680"/>
            <w:shd w:fill="FFFFFF"/>
          </w:tcPr>
          <w:p>
            <w:r>
              <w:rPr>
                <w:rFonts w:ascii="Arial" w:hAnsi="Arial"/>
                <w:color w:val="1E293B"/>
                <w:sz w:val="16"/>
              </w:rPr>
              <w:t>Applicable Locations</w:t>
            </w:r>
          </w:p>
        </w:tc>
        <w:tc>
          <w:tcPr>
            <w:tcW w:type="dxa" w:w="4680"/>
            <w:shd w:fill="FFFFFF"/>
          </w:tcPr>
          <w:p>
            <w:r>
              <w:rPr>
                <w:rFonts w:ascii="Arial" w:hAnsi="Arial"/>
                <w:color w:val="1E293B"/>
                <w:sz w:val="16"/>
              </w:rPr>
              <w:t>Hyderabad, Bangalore, Pune, Chennai, Mumbai</w:t>
            </w:r>
          </w:p>
        </w:tc>
      </w:tr>
      <w:tr>
        <w:tc>
          <w:tcPr>
            <w:tcW w:type="dxa" w:w="4680"/>
            <w:shd w:fill="F8FAFC"/>
          </w:tcPr>
          <w:p>
            <w:r>
              <w:rPr>
                <w:rFonts w:ascii="Arial" w:hAnsi="Arial"/>
                <w:color w:val="1E293B"/>
                <w:sz w:val="16"/>
              </w:rPr>
              <w:t>Applicable Personnel</w:t>
            </w:r>
          </w:p>
        </w:tc>
        <w:tc>
          <w:tcPr>
            <w:tcW w:type="dxa" w:w="4680"/>
            <w:shd w:fill="F8FAFC"/>
          </w:tcPr>
          <w:p>
            <w:r>
              <w:rPr>
                <w:rFonts w:ascii="Arial" w:hAnsi="Arial"/>
                <w:color w:val="1E293B"/>
                <w:sz w:val="16"/>
              </w:rPr>
              <w:t>Full-time employees, probationers, interns, and contractors</w:t>
            </w:r>
          </w:p>
        </w:tc>
      </w:tr>
      <w:tr>
        <w:tc>
          <w:tcPr>
            <w:tcW w:type="dxa" w:w="4680"/>
            <w:shd w:fill="FFFFFF"/>
          </w:tcPr>
          <w:p>
            <w:r>
              <w:rPr>
                <w:rFonts w:ascii="Arial" w:hAnsi="Arial"/>
                <w:color w:val="1E293B"/>
                <w:sz w:val="16"/>
              </w:rPr>
              <w:t>Supersedes / Related</w:t>
            </w:r>
          </w:p>
        </w:tc>
        <w:tc>
          <w:tcPr>
            <w:tcW w:type="dxa" w:w="4680"/>
            <w:shd w:fill="FFFFFF"/>
          </w:tcPr>
          <w:p>
            <w:r>
              <w:rPr>
                <w:rFonts w:ascii="Arial" w:hAnsi="Arial"/>
                <w:color w:val="1E293B"/>
                <w:sz w:val="16"/>
              </w:rPr>
              <w:t>Supersedes v2.2 / Related: HR Policies v3.2, Payroll v5.0, IT Services and Employee Assets Policy, Code of Conduct, Information Security Policy, Employee Benefits Policy, Travel &amp; Expense Policy</w:t>
            </w:r>
          </w:p>
        </w:tc>
      </w:tr>
    </w:tbl>
    <w:p>
      <w:pPr>
        <w:keepNext/>
        <w:spacing w:before="320" w:after="120"/>
      </w:pPr>
      <w:r>
        <w:rPr>
          <w:rFonts w:ascii="Arial" w:hAnsi="Arial"/>
          <w:b/>
          <w:color w:val="0F172A"/>
          <w:sz w:val="24"/>
        </w:rPr>
        <w:t>1. Purpose &amp; Scope</w:t>
      </w:r>
    </w:p>
    <w:p>
      <w:pPr>
        <w:spacing w:before="0" w:after="100" w:line="276" w:lineRule="auto"/>
      </w:pPr>
      <w:r>
        <w:rPr>
          <w:rFonts w:ascii="Arial" w:hAnsi="Arial"/>
          <w:color w:val="1E293B"/>
          <w:sz w:val="19"/>
        </w:rPr>
        <w:t>This Series Tech Limited Employee Handbook explains the complete end-to-end employee lifecycle at Series Tech Limited, spanning talent acquisition, onboarding, probation, confirmation, biannual performance promotions, internal mobility/transfers, resignation governance, notice period calculations, exit clearance workflows, experience letter issuance, and third-party background verification. It is written as a self-contained, authoritative operational reference for all employees across all office locations.</w:t>
      </w:r>
    </w:p>
    <w:p>
      <w:pPr>
        <w:spacing w:before="0" w:after="100" w:line="276" w:lineRule="auto"/>
      </w:pPr>
      <w:r>
        <w:rPr>
          <w:rFonts w:ascii="Arial" w:hAnsi="Arial"/>
          <w:b/>
          <w:color w:val="1E293B"/>
          <w:sz w:val="19"/>
        </w:rPr>
        <w:t xml:space="preserve">Scope: </w:t>
      </w:r>
      <w:r>
        <w:rPr>
          <w:rFonts w:ascii="Arial" w:hAnsi="Arial"/>
          <w:color w:val="1E293B"/>
          <w:sz w:val="19"/>
        </w:rPr>
        <w:t>Applies to all full-time employees, probationers, interns, and contractors operating across Hyderabad, Bangalore, Pune, Chennai, and Mumbai operating hubs.</w:t>
      </w:r>
    </w:p>
    <w:p>
      <w:pPr>
        <w:spacing w:before="0" w:after="100" w:line="276" w:lineRule="auto"/>
      </w:pPr>
      <w:r>
        <w:rPr>
          <w:rFonts w:ascii="Arial" w:hAnsi="Arial"/>
          <w:b/>
          <w:color w:val="1E293B"/>
          <w:sz w:val="19"/>
        </w:rPr>
        <w:t xml:space="preserve">Related Policies: </w:t>
      </w:r>
      <w:r>
        <w:rPr>
          <w:rFonts w:ascii="Arial" w:hAnsi="Arial"/>
          <w:color w:val="1E293B"/>
          <w:sz w:val="19"/>
        </w:rPr>
        <w:t>HR Policies v3.2, Payroll &amp; Finance Policy v5.0, IT Services and Employee Assets Policy, Code of Conduct, Information Security Policy, Employee Benefits Policy, and Travel &amp; Expense Policy.</w:t>
      </w:r>
    </w:p>
    <w:p>
      <w:pPr>
        <w:keepNext/>
        <w:spacing w:before="320" w:after="120"/>
      </w:pPr>
      <w:r>
        <w:rPr>
          <w:rFonts w:ascii="Arial" w:hAnsi="Arial"/>
          <w:b/>
          <w:color w:val="0F172A"/>
          <w:sz w:val="24"/>
        </w:rPr>
        <w:t>2. Onboarding, Document Submission &amp; Employee ID</w:t>
      </w:r>
    </w:p>
    <w:p>
      <w:pPr>
        <w:spacing w:before="0" w:after="100" w:line="276" w:lineRule="auto"/>
      </w:pPr>
      <w:r>
        <w:rPr>
          <w:rFonts w:ascii="Arial" w:hAnsi="Arial"/>
          <w:color w:val="1E293B"/>
          <w:sz w:val="19"/>
        </w:rPr>
        <w:t>Upon candidate offer acceptance, Human Resources issues a digital onboarding kit detailing joining instructions and document verification checklists. On Day 1, new joiners complete identity verification and receive a unique Employee ID used for payroll, attendance, and system access provisioning. Remote joiners participate via a virtual orientation session.</w:t>
      </w:r>
    </w:p>
    <w:p>
      <w:pPr>
        <w:keepNext/>
        <w:spacing w:before="240" w:after="80"/>
      </w:pPr>
      <w:r>
        <w:rPr>
          <w:rFonts w:ascii="Arial" w:hAnsi="Arial"/>
          <w:b/>
          <w:color w:val="0284C7"/>
          <w:sz w:val="20"/>
        </w:rPr>
        <w:t>2.1 Onboarding Document Matrix</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rFonts w:ascii="Arial" w:hAnsi="Arial"/>
                <w:b/>
                <w:color w:val="FFFFFF"/>
                <w:sz w:val="17"/>
              </w:rPr>
              <w:t>Document Category</w:t>
            </w:r>
          </w:p>
        </w:tc>
        <w:tc>
          <w:tcPr>
            <w:tcW w:type="dxa" w:w="3120"/>
            <w:shd w:fill="0F172A"/>
          </w:tcPr>
          <w:p>
            <w:r>
              <w:rPr>
                <w:rFonts w:ascii="Arial" w:hAnsi="Arial"/>
                <w:b/>
                <w:color w:val="FFFFFF"/>
                <w:sz w:val="17"/>
              </w:rPr>
              <w:t>Mandatory Items Required</w:t>
            </w:r>
          </w:p>
        </w:tc>
        <w:tc>
          <w:tcPr>
            <w:tcW w:type="dxa" w:w="3120"/>
            <w:shd w:fill="0F172A"/>
          </w:tcPr>
          <w:p>
            <w:r>
              <w:rPr>
                <w:rFonts w:ascii="Arial" w:hAnsi="Arial"/>
                <w:b/>
                <w:color w:val="FFFFFF"/>
                <w:sz w:val="17"/>
              </w:rPr>
              <w:t>Verification Timeline</w:t>
            </w:r>
          </w:p>
        </w:tc>
      </w:tr>
      <w:tr>
        <w:tc>
          <w:tcPr>
            <w:tcW w:type="dxa" w:w="3120"/>
            <w:shd w:fill="F8FAFC"/>
          </w:tcPr>
          <w:p>
            <w:r>
              <w:rPr>
                <w:rFonts w:ascii="Arial" w:hAnsi="Arial"/>
                <w:color w:val="1E293B"/>
                <w:sz w:val="16"/>
              </w:rPr>
              <w:t>Educational Credentials</w:t>
            </w:r>
          </w:p>
        </w:tc>
        <w:tc>
          <w:tcPr>
            <w:tcW w:type="dxa" w:w="3120"/>
            <w:shd w:fill="F8FAFC"/>
          </w:tcPr>
          <w:p>
            <w:r>
              <w:rPr>
                <w:rFonts w:ascii="Arial" w:hAnsi="Arial"/>
                <w:color w:val="1E293B"/>
                <w:sz w:val="16"/>
              </w:rPr>
              <w:t>Degree certificates, transcripts, mark sheets</w:t>
            </w:r>
          </w:p>
        </w:tc>
        <w:tc>
          <w:tcPr>
            <w:tcW w:type="dxa" w:w="3120"/>
            <w:shd w:fill="F8FAFC"/>
          </w:tcPr>
          <w:p>
            <w:r>
              <w:rPr>
                <w:rFonts w:ascii="Arial" w:hAnsi="Arial"/>
                <w:color w:val="1E293B"/>
                <w:sz w:val="16"/>
              </w:rPr>
              <w:t>Verified via BGV agency within 90 days</w:t>
            </w:r>
          </w:p>
        </w:tc>
      </w:tr>
      <w:tr>
        <w:tc>
          <w:tcPr>
            <w:tcW w:type="dxa" w:w="3120"/>
            <w:shd w:fill="FFFFFF"/>
          </w:tcPr>
          <w:p>
            <w:r>
              <w:rPr>
                <w:rFonts w:ascii="Arial" w:hAnsi="Arial"/>
                <w:color w:val="1E293B"/>
                <w:sz w:val="16"/>
              </w:rPr>
              <w:t>Previous Employment</w:t>
            </w:r>
          </w:p>
        </w:tc>
        <w:tc>
          <w:tcPr>
            <w:tcW w:type="dxa" w:w="3120"/>
            <w:shd w:fill="FFFFFF"/>
          </w:tcPr>
          <w:p>
            <w:r>
              <w:rPr>
                <w:rFonts w:ascii="Arial" w:hAnsi="Arial"/>
                <w:color w:val="1E293B"/>
                <w:sz w:val="16"/>
              </w:rPr>
              <w:t>Relieving letter, service certificate, last 3 payslips</w:t>
            </w:r>
          </w:p>
        </w:tc>
        <w:tc>
          <w:tcPr>
            <w:tcW w:type="dxa" w:w="3120"/>
            <w:shd w:fill="FFFFFF"/>
          </w:tcPr>
          <w:p>
            <w:r>
              <w:rPr>
                <w:rFonts w:ascii="Arial" w:hAnsi="Arial"/>
                <w:color w:val="1E293B"/>
                <w:sz w:val="16"/>
              </w:rPr>
              <w:t>Verified prior to probation confirmation</w:t>
            </w:r>
          </w:p>
        </w:tc>
      </w:tr>
      <w:tr>
        <w:tc>
          <w:tcPr>
            <w:tcW w:type="dxa" w:w="3120"/>
            <w:shd w:fill="F8FAFC"/>
          </w:tcPr>
          <w:p>
            <w:r>
              <w:rPr>
                <w:rFonts w:ascii="Arial" w:hAnsi="Arial"/>
                <w:color w:val="1E293B"/>
                <w:sz w:val="16"/>
              </w:rPr>
              <w:t>Identity &amp; Address Proof</w:t>
            </w:r>
          </w:p>
        </w:tc>
        <w:tc>
          <w:tcPr>
            <w:tcW w:type="dxa" w:w="3120"/>
            <w:shd w:fill="F8FAFC"/>
          </w:tcPr>
          <w:p>
            <w:r>
              <w:rPr>
                <w:rFonts w:ascii="Arial" w:hAnsi="Arial"/>
                <w:color w:val="1E293B"/>
                <w:sz w:val="16"/>
              </w:rPr>
              <w:t>PAN Card, Aadhaar Card, Passport / Driving License</w:t>
            </w:r>
          </w:p>
        </w:tc>
        <w:tc>
          <w:tcPr>
            <w:tcW w:type="dxa" w:w="3120"/>
            <w:shd w:fill="F8FAFC"/>
          </w:tcPr>
          <w:p>
            <w:r>
              <w:rPr>
                <w:rFonts w:ascii="Arial" w:hAnsi="Arial"/>
                <w:color w:val="1E293B"/>
                <w:sz w:val="16"/>
              </w:rPr>
              <w:t>Verified on Day 1 of onboarding</w:t>
            </w:r>
          </w:p>
        </w:tc>
      </w:tr>
      <w:tr>
        <w:tc>
          <w:tcPr>
            <w:tcW w:type="dxa" w:w="3120"/>
            <w:shd w:fill="FFFFFF"/>
          </w:tcPr>
          <w:p>
            <w:r>
              <w:rPr>
                <w:rFonts w:ascii="Arial" w:hAnsi="Arial"/>
                <w:color w:val="1E293B"/>
                <w:sz w:val="16"/>
              </w:rPr>
              <w:t>Financial Records</w:t>
            </w:r>
          </w:p>
        </w:tc>
        <w:tc>
          <w:tcPr>
            <w:tcW w:type="dxa" w:w="3120"/>
            <w:shd w:fill="FFFFFF"/>
          </w:tcPr>
          <w:p>
            <w:r>
              <w:rPr>
                <w:rFonts w:ascii="Arial" w:hAnsi="Arial"/>
                <w:color w:val="1E293B"/>
                <w:sz w:val="16"/>
              </w:rPr>
              <w:t>Cancelled cheque / Bank passbook copy with IFSC</w:t>
            </w:r>
          </w:p>
        </w:tc>
        <w:tc>
          <w:tcPr>
            <w:tcW w:type="dxa" w:w="3120"/>
            <w:shd w:fill="FFFFFF"/>
          </w:tcPr>
          <w:p>
            <w:r>
              <w:rPr>
                <w:rFonts w:ascii="Arial" w:hAnsi="Arial"/>
                <w:color w:val="1E293B"/>
                <w:sz w:val="16"/>
              </w:rPr>
              <w:t>Required for payroll bank account setup by 22nd</w:t>
            </w:r>
          </w:p>
        </w:tc>
      </w:tr>
      <w:tr>
        <w:tc>
          <w:tcPr>
            <w:tcW w:type="dxa" w:w="3120"/>
            <w:shd w:fill="F8FAFC"/>
          </w:tcPr>
          <w:p>
            <w:r>
              <w:rPr>
                <w:rFonts w:ascii="Arial" w:hAnsi="Arial"/>
                <w:color w:val="1E293B"/>
                <w:sz w:val="16"/>
              </w:rPr>
              <w:t>Compliance Forms</w:t>
            </w:r>
          </w:p>
        </w:tc>
        <w:tc>
          <w:tcPr>
            <w:tcW w:type="dxa" w:w="3120"/>
            <w:shd w:fill="F8FAFC"/>
          </w:tcPr>
          <w:p>
            <w:r>
              <w:rPr>
                <w:rFonts w:ascii="Arial" w:hAnsi="Arial"/>
                <w:color w:val="1E293B"/>
                <w:sz w:val="16"/>
              </w:rPr>
              <w:t>Signed Confidentiality Agreement &amp; Code of Conduct</w:t>
            </w:r>
          </w:p>
        </w:tc>
        <w:tc>
          <w:tcPr>
            <w:tcW w:type="dxa" w:w="3120"/>
            <w:shd w:fill="F8FAFC"/>
          </w:tcPr>
          <w:p>
            <w:r>
              <w:rPr>
                <w:rFonts w:ascii="Arial" w:hAnsi="Arial"/>
                <w:color w:val="1E293B"/>
                <w:sz w:val="16"/>
              </w:rPr>
              <w:t>Mandatory submission on Day 1</w:t>
            </w:r>
          </w:p>
        </w:tc>
      </w:tr>
    </w:tbl>
    <w:p>
      <w:pPr>
        <w:keepNext/>
        <w:spacing w:before="240" w:after="80"/>
      </w:pPr>
      <w:r>
        <w:rPr>
          <w:rFonts w:ascii="Arial" w:hAnsi="Arial"/>
          <w:b/>
          <w:color w:val="0284C7"/>
          <w:sz w:val="20"/>
        </w:rPr>
        <w:t>2.2 Employee Lifecycle Workflow</w:t>
      </w:r>
    </w:p>
    <w:p>
      <w:pPr>
        <w:spacing w:before="0" w:after="100" w:line="276" w:lineRule="auto"/>
      </w:pPr>
      <w:r>
        <w:rPr>
          <w:rFonts w:ascii="Arial" w:hAnsi="Arial"/>
          <w:color w:val="1E293B"/>
          <w:sz w:val="19"/>
        </w:rPr>
        <w:t>Candidate Selected → Offer Accepted → Pre-Joining Documentation → Day 1 Onboarding → Employee ID &amp; System Provisioning → Background Verification → 6-Month Probation → Performance Review → Confirmation / Probation Extension / Separation → Performance &amp; Promotion Cycles → Internal Mobility (if eligible) → Resignation → Notice Period → Knowledge Transfer → Asset &amp; Access Clearance → Finance &amp; Payroll Clearance → Exit Interview → Full-and-Final Settlement → Relieving &amp; Experience Letters → Employee Lifecycle Closure</w:t>
      </w:r>
    </w:p>
    <w:p>
      <w:pPr>
        <w:keepNext/>
        <w:spacing w:before="320" w:after="120"/>
      </w:pPr>
      <w:r>
        <w:rPr>
          <w:rFonts w:ascii="Arial" w:hAnsi="Arial"/>
          <w:b/>
          <w:color w:val="0F172A"/>
          <w:sz w:val="24"/>
        </w:rPr>
        <w:t>3. Probation &amp; Confirmation Framework</w:t>
      </w:r>
    </w:p>
    <w:p>
      <w:pPr>
        <w:spacing w:before="0" w:after="100" w:line="276" w:lineRule="auto"/>
      </w:pPr>
      <w:r>
        <w:rPr>
          <w:rFonts w:ascii="Arial" w:hAnsi="Arial"/>
          <w:color w:val="1E293B"/>
          <w:sz w:val="19"/>
        </w:rPr>
        <w:t>All new full-time hires undergo a standard 6-month probation period. During this period, performance, technical competency, and professional conduct are evaluated monthly by the Reporting Manager.</w:t>
      </w:r>
    </w:p>
    <w:p>
      <w:pPr>
        <w:spacing w:before="0" w:after="100" w:line="276" w:lineRule="auto"/>
      </w:pPr>
      <w:r>
        <w:rPr>
          <w:rFonts w:ascii="Arial" w:hAnsi="Arial"/>
          <w:b/>
          <w:color w:val="1E293B"/>
          <w:sz w:val="19"/>
        </w:rPr>
        <w:t xml:space="preserve">Probation Confirmation: </w:t>
      </w:r>
      <w:r>
        <w:rPr>
          <w:rFonts w:ascii="Arial" w:hAnsi="Arial"/>
          <w:color w:val="1E293B"/>
          <w:sz w:val="19"/>
        </w:rPr>
        <w:t>At the end of the 6-month probation period, the Reporting Manager submits a formal performance recommendation to HR Operations. HR Operations reviews the recommendation and supporting performance records. Final confirmation approval is granted by the Head of Human Resources. After final approval, HR Operations issues the official confirmation letter.</w:t>
      </w:r>
    </w:p>
    <w:p>
      <w:pPr>
        <w:spacing w:before="0" w:after="100" w:line="276" w:lineRule="auto"/>
      </w:pPr>
      <w:r>
        <w:rPr>
          <w:rFonts w:ascii="Arial" w:hAnsi="Arial"/>
          <w:color w:val="1E293B"/>
          <w:sz w:val="19"/>
        </w:rPr>
        <w:t>Where additional evaluation time is required, probation may be extended by up to 3 months. The employee will be formally notified of the probation extension and the expected review timeline.</w:t>
      </w:r>
    </w:p>
    <w:p>
      <w:pPr>
        <w:spacing w:before="0" w:after="100" w:line="276" w:lineRule="auto"/>
      </w:pPr>
      <w:r>
        <w:rPr>
          <w:rFonts w:ascii="Arial" w:hAnsi="Arial"/>
          <w:color w:val="1E293B"/>
          <w:sz w:val="19"/>
        </w:rPr>
        <w:t>If the employee does not meet required performance or conduct standards after the evaluation or extension period, employment may be separated in accordance with applicable employment terms and company policy.</w:t>
      </w:r>
    </w:p>
    <w:p>
      <w:pPr>
        <w:keepNext/>
        <w:spacing w:before="320" w:after="120"/>
      </w:pPr>
      <w:r>
        <w:rPr>
          <w:rFonts w:ascii="Arial" w:hAnsi="Arial"/>
          <w:b/>
          <w:color w:val="0F172A"/>
          <w:sz w:val="24"/>
        </w:rPr>
        <w:t>4. Background Verification (BGV) Protocol</w:t>
      </w:r>
    </w:p>
    <w:p>
      <w:pPr>
        <w:spacing w:before="0" w:after="100" w:line="276" w:lineRule="auto"/>
      </w:pPr>
      <w:r>
        <w:rPr>
          <w:rFonts w:ascii="Arial" w:hAnsi="Arial"/>
          <w:color w:val="1E293B"/>
          <w:sz w:val="19"/>
        </w:rPr>
        <w:t>Series Tech Limited conducts background verification for applicable new hires, interns, and contractors through an accredited third-party agency or authorized verification provider.</w:t>
      </w:r>
    </w:p>
    <w:p>
      <w:pPr>
        <w:spacing w:before="0" w:after="100" w:line="276" w:lineRule="auto"/>
      </w:pPr>
      <w:r>
        <w:rPr>
          <w:rFonts w:ascii="Arial" w:hAnsi="Arial"/>
          <w:color w:val="1E293B"/>
          <w:sz w:val="19"/>
        </w:rPr>
        <w:t>Verification may include educational credentials, previous employment, identity, address, and other legally permissible checks.</w:t>
      </w:r>
    </w:p>
    <w:p>
      <w:pPr>
        <w:spacing w:before="0" w:after="100" w:line="276" w:lineRule="auto"/>
      </w:pPr>
      <w:r>
        <w:rPr>
          <w:rFonts w:ascii="Arial" w:hAnsi="Arial"/>
          <w:color w:val="1E293B"/>
          <w:sz w:val="19"/>
        </w:rPr>
        <w:t>BGV must generally be completed within 90 calendar days of joining.</w:t>
      </w:r>
    </w:p>
    <w:p>
      <w:pPr>
        <w:spacing w:before="0" w:after="100" w:line="276" w:lineRule="auto"/>
      </w:pPr>
      <w:r>
        <w:rPr>
          <w:rFonts w:ascii="Arial" w:hAnsi="Arial"/>
          <w:color w:val="1E293B"/>
          <w:sz w:val="19"/>
        </w:rPr>
        <w:t>Any discrepancy identified during BGV will be reviewed by HR, and the employee may be asked to provide clarification or supporting documentation.</w:t>
      </w:r>
    </w:p>
    <w:p>
      <w:pPr>
        <w:spacing w:before="0" w:after="100" w:line="276" w:lineRule="auto"/>
      </w:pPr>
      <w:r>
        <w:rPr>
          <w:rFonts w:ascii="Arial" w:hAnsi="Arial"/>
          <w:color w:val="1E293B"/>
          <w:sz w:val="19"/>
        </w:rPr>
        <w:t>Material misrepresentation, falsification of information, or deliberate concealment of relevant information may result in disciplinary action, up to and including termination, subject to applicable law and company policy.</w:t>
      </w:r>
    </w:p>
    <w:p>
      <w:pPr>
        <w:keepNext/>
        <w:spacing w:before="320" w:after="120"/>
      </w:pPr>
      <w:r>
        <w:rPr>
          <w:rFonts w:ascii="Arial" w:hAnsi="Arial"/>
          <w:b/>
          <w:color w:val="0F172A"/>
          <w:sz w:val="24"/>
        </w:rPr>
        <w:t>5. Promotion Cycle &amp; Performance Assessment</w:t>
      </w:r>
    </w:p>
    <w:p>
      <w:pPr>
        <w:spacing w:before="0" w:after="100" w:line="276" w:lineRule="auto"/>
      </w:pPr>
      <w:r>
        <w:rPr>
          <w:rFonts w:ascii="Arial" w:hAnsi="Arial"/>
          <w:color w:val="1E293B"/>
          <w:sz w:val="19"/>
        </w:rPr>
        <w:t>Promotions are evaluated biannually (twice per calendar year) during mid-year and annual appraisal cycles. Promotion nominations are raised by Reporting Managers, evaluated against a standardized technical skill matrix, and reviewed by a Promotion Committee comprising Department Heads, Senior Leadership, and HR.</w:t>
      </w:r>
    </w:p>
    <w:p>
      <w:pPr>
        <w:keepNext/>
        <w:spacing w:before="320" w:after="120"/>
      </w:pPr>
      <w:r>
        <w:rPr>
          <w:rFonts w:ascii="Arial" w:hAnsi="Arial"/>
          <w:b/>
          <w:color w:val="0F172A"/>
          <w:sz w:val="24"/>
        </w:rPr>
        <w:t>6. Internal Transfers &amp; Mobility Rules</w:t>
      </w:r>
    </w:p>
    <w:p>
      <w:pPr>
        <w:spacing w:before="0" w:after="100" w:line="276" w:lineRule="auto"/>
      </w:pPr>
      <w:r>
        <w:rPr>
          <w:rFonts w:ascii="Arial" w:hAnsi="Arial"/>
          <w:b/>
          <w:color w:val="1E293B"/>
          <w:sz w:val="19"/>
        </w:rPr>
        <w:t xml:space="preserve">6.1 Transfer Eligibility: </w:t>
      </w:r>
      <w:r>
        <w:rPr>
          <w:rFonts w:ascii="Arial" w:hAnsi="Arial"/>
          <w:color w:val="1E293B"/>
          <w:sz w:val="19"/>
        </w:rPr>
        <w:t>Internal department and branch transfers are generally available to confirmed full-time employees who have completed at least 1 year of continuous service.</w:t>
      </w:r>
    </w:p>
    <w:p>
      <w:pPr>
        <w:spacing w:before="0" w:after="100" w:line="276" w:lineRule="auto"/>
      </w:pPr>
      <w:r>
        <w:rPr>
          <w:rFonts w:ascii="Arial" w:hAnsi="Arial"/>
          <w:color w:val="1E293B"/>
          <w:sz w:val="19"/>
        </w:rPr>
        <w:t>Probationers, interns, and contractors are generally not eligible for the standard internal transfer process.</w:t>
      </w:r>
    </w:p>
    <w:p>
      <w:pPr>
        <w:spacing w:before="0" w:after="100" w:line="276" w:lineRule="auto"/>
      </w:pPr>
      <w:r>
        <w:rPr>
          <w:rFonts w:ascii="Arial" w:hAnsi="Arial"/>
          <w:color w:val="1E293B"/>
          <w:sz w:val="19"/>
        </w:rPr>
        <w:t>Exceptions may be considered only with written approval from HR and the relevant Department Heads.</w:t>
      </w:r>
    </w:p>
    <w:p>
      <w:pPr>
        <w:spacing w:before="0" w:after="100" w:line="276" w:lineRule="auto"/>
      </w:pPr>
      <w:r>
        <w:rPr>
          <w:rFonts w:ascii="Arial" w:hAnsi="Arial"/>
          <w:color w:val="1E293B"/>
          <w:sz w:val="19"/>
        </w:rPr>
        <w:t>Transfer eligibility remains subject to business requirements, role availability, employee performance standing, organizational needs, and receiving-team capacity.</w:t>
      </w:r>
    </w:p>
    <w:p>
      <w:pPr>
        <w:spacing w:before="0" w:after="100" w:line="276" w:lineRule="auto"/>
      </w:pPr>
      <w:r>
        <w:rPr>
          <w:rFonts w:ascii="Arial" w:hAnsi="Arial"/>
          <w:color w:val="1E293B"/>
          <w:sz w:val="19"/>
        </w:rPr>
        <w:t>Approval of a transfer does not guarantee a specific role, location, compensation change, or promotion.</w:t>
      </w:r>
    </w:p>
    <w:p>
      <w:pPr>
        <w:keepNext/>
        <w:spacing w:before="320" w:after="120"/>
      </w:pPr>
      <w:r>
        <w:rPr>
          <w:rFonts w:ascii="Arial" w:hAnsi="Arial"/>
          <w:b/>
          <w:color w:val="0F172A"/>
          <w:sz w:val="24"/>
        </w:rPr>
        <w:t>7. Resignation, Notice Period &amp; Buyout Policy</w:t>
      </w:r>
    </w:p>
    <w:p>
      <w:pPr>
        <w:spacing w:before="0" w:after="100" w:line="276" w:lineRule="auto"/>
      </w:pPr>
      <w:r>
        <w:rPr>
          <w:rFonts w:ascii="Arial" w:hAnsi="Arial"/>
          <w:color w:val="1E293B"/>
          <w:sz w:val="19"/>
        </w:rPr>
        <w:t>Resignations must be formally submitted through the internal HR Portal. Standard notice period requirements are 60 calendar days for confirmed employees and 30 calendar days for probationary employees.</w:t>
      </w:r>
    </w:p>
    <w:p>
      <w:pPr>
        <w:spacing w:before="0" w:after="100" w:line="276" w:lineRule="auto"/>
      </w:pPr>
      <w:r>
        <w:rPr>
          <w:rFonts w:ascii="Arial" w:hAnsi="Arial"/>
          <w:b/>
          <w:color w:val="1E293B"/>
          <w:sz w:val="19"/>
        </w:rPr>
        <w:t xml:space="preserve">Notice Period Buyout: </w:t>
      </w:r>
      <w:r>
        <w:rPr>
          <w:rFonts w:ascii="Arial" w:hAnsi="Arial"/>
          <w:color w:val="1E293B"/>
          <w:sz w:val="19"/>
        </w:rPr>
        <w:t>Notice period buyout requires approval from the Reporting Manager and HR Operations. For Department Heads or senior leadership roles, approval from the Department Head and HR Director is additionally required. Notice buyout is subject to business requirements, applicable employment terms, and payroll recovery rules. Approval is not automatic.</w:t>
      </w:r>
    </w:p>
    <w:p>
      <w:pPr>
        <w:spacing w:before="0" w:after="100" w:line="276" w:lineRule="auto"/>
      </w:pPr>
      <w:r>
        <w:rPr>
          <w:rFonts w:ascii="Arial" w:hAnsi="Arial"/>
          <w:color w:val="1E293B"/>
          <w:sz w:val="19"/>
        </w:rPr>
        <w:t>The amount payable for an approved notice buyout is calculated based on the applicable employment terms and the number of unserved notice days. Any approved recovery amount is processed through Full-and-Final (FnF) settlement or other applicable payroll procedures.</w:t>
      </w:r>
    </w:p>
    <w:p>
      <w:pPr>
        <w:keepNext/>
        <w:spacing w:before="240" w:after="80"/>
      </w:pPr>
      <w:r>
        <w:rPr>
          <w:rFonts w:ascii="Arial" w:hAnsi="Arial"/>
          <w:b/>
          <w:color w:val="0284C7"/>
          <w:sz w:val="20"/>
        </w:rPr>
        <w:t>7.1 Resignation Workflow</w:t>
      </w:r>
    </w:p>
    <w:p>
      <w:pPr>
        <w:spacing w:before="0" w:after="100" w:line="276" w:lineRule="auto"/>
      </w:pPr>
      <w:r>
        <w:rPr>
          <w:rFonts w:ascii="Arial" w:hAnsi="Arial"/>
          <w:color w:val="1E293B"/>
          <w:sz w:val="19"/>
        </w:rPr>
        <w:t>1. Employee submits resignation through the HR Portal.</w:t>
        <w:br/>
        <w:t>2. Reporting Manager reviews and acknowledges the resignation.</w:t>
        <w:br/>
        <w:t>3. If no action occurs within 5 working days, the resignation request automatically escalates to the Department Head.</w:t>
        <w:br/>
        <w:t>4. HR Operations confirms the employee's applicable notice period and proposed Last Working Day (LWD).</w:t>
        <w:br/>
        <w:t>5. Employee completes the applicable notice period or obtains an approved notice buyout.</w:t>
        <w:br/>
        <w:t>6. Employee completes required Knowledge Transfer (KT) activities.</w:t>
        <w:br/>
        <w:t>7. Reporting Manager confirms completion and acceptance of Knowledge Transfer.</w:t>
        <w:br/>
        <w:t>8. IT, Administration, Finance, Payroll, and HR clearance activities are completed.</w:t>
        <w:br/>
        <w:t>9. Company assets are returned and system access is deactivated according to the applicable IT and Asset policies.</w:t>
        <w:br/>
        <w:t>10. Full-and-Final (FnF) settlement is processed after required clearance and reconciliation.</w:t>
        <w:br/>
        <w:t>11. Relieving and Experience Letters are issued after successful completion of exit clearance.</w:t>
      </w:r>
    </w:p>
    <w:p>
      <w:pPr>
        <w:keepNext/>
        <w:spacing w:before="240" w:after="80"/>
      </w:pPr>
      <w:r>
        <w:rPr>
          <w:rFonts w:ascii="Arial" w:hAnsi="Arial"/>
          <w:b/>
          <w:color w:val="0284C7"/>
          <w:sz w:val="20"/>
        </w:rPr>
        <w:t>7.2 Notice Period Calculation</w:t>
      </w:r>
    </w:p>
    <w:p>
      <w:pPr>
        <w:spacing w:before="0" w:after="100" w:line="276" w:lineRule="auto"/>
      </w:pPr>
      <w:r>
        <w:rPr>
          <w:rFonts w:ascii="Arial" w:hAnsi="Arial"/>
          <w:color w:val="1E293B"/>
          <w:sz w:val="19"/>
        </w:rPr>
        <w:t>The Last Working Day (LWD) is calculated based on the employee's resignation effective date and applicable notice period.</w:t>
      </w:r>
    </w:p>
    <w:p>
      <w:pPr>
        <w:spacing w:before="0" w:after="100" w:line="276" w:lineRule="auto"/>
      </w:pPr>
      <w:r>
        <w:rPr>
          <w:rFonts w:ascii="Arial" w:hAnsi="Arial"/>
          <w:color w:val="1E293B"/>
          <w:sz w:val="19"/>
        </w:rPr>
        <w:t>Confirmed employees: 60 calendar days. Probationary employees: 30 calendar days.</w:t>
      </w:r>
    </w:p>
    <w:p>
      <w:pPr>
        <w:spacing w:before="0" w:after="100" w:line="276" w:lineRule="auto"/>
      </w:pPr>
      <w:r>
        <w:rPr>
          <w:rFonts w:ascii="Arial" w:hAnsi="Arial"/>
          <w:color w:val="1E293B"/>
          <w:sz w:val="19"/>
        </w:rPr>
        <w:t>The applicable notice period is determined based on the employee's employment status on the effective date of resignation.</w:t>
      </w:r>
    </w:p>
    <w:p>
      <w:pPr>
        <w:spacing w:before="0" w:after="100" w:line="276" w:lineRule="auto"/>
      </w:pPr>
      <w:r>
        <w:rPr>
          <w:rFonts w:ascii="Arial" w:hAnsi="Arial"/>
          <w:color w:val="1E293B"/>
          <w:sz w:val="19"/>
        </w:rPr>
        <w:t>Public holidays and weekends occurring during the notice period are included in the calendar-day notice period.</w:t>
      </w:r>
    </w:p>
    <w:p>
      <w:pPr>
        <w:spacing w:before="0" w:after="100" w:line="276" w:lineRule="auto"/>
      </w:pPr>
      <w:r>
        <w:rPr>
          <w:rFonts w:ascii="Arial" w:hAnsi="Arial"/>
          <w:color w:val="1E293B"/>
          <w:sz w:val="19"/>
        </w:rPr>
        <w:t>Approved leave during the notice period does not automatically reduce or extend the notice obligation. Any adjustment to the notice period requires approval from HR Operations and the Department Head.</w:t>
      </w:r>
    </w:p>
    <w:p>
      <w:pPr>
        <w:spacing w:before="0" w:after="100" w:line="276" w:lineRule="auto"/>
      </w:pPr>
      <w:r>
        <w:rPr>
          <w:rFonts w:ascii="Arial" w:hAnsi="Arial"/>
          <w:color w:val="1E293B"/>
          <w:sz w:val="19"/>
        </w:rPr>
        <w:t>Any approved notice buyout reduces the remaining service obligation based on the number of approved unserved notice days.</w:t>
      </w:r>
    </w:p>
    <w:p>
      <w:pPr>
        <w:spacing w:before="0" w:after="100" w:line="276" w:lineRule="auto"/>
      </w:pPr>
      <w:r>
        <w:rPr>
          <w:rFonts w:ascii="Arial" w:hAnsi="Arial"/>
          <w:color w:val="1E293B"/>
          <w:sz w:val="19"/>
        </w:rPr>
        <w:t>The resignation effective date is treated as Day 1 for notice-period calculation purposes.</w:t>
      </w:r>
    </w:p>
    <w:p>
      <w:pPr>
        <w:spacing w:before="0" w:after="100" w:line="276" w:lineRule="auto"/>
      </w:pPr>
      <w:r>
        <w:rPr>
          <w:rFonts w:ascii="Arial" w:hAnsi="Arial"/>
          <w:b/>
          <w:color w:val="1E293B"/>
          <w:sz w:val="19"/>
        </w:rPr>
        <w:t xml:space="preserve">Notice Calculation Example: </w:t>
      </w:r>
      <w:r>
        <w:rPr>
          <w:rFonts w:ascii="Arial" w:hAnsi="Arial"/>
          <w:color w:val="1E293B"/>
          <w:sz w:val="19"/>
        </w:rPr>
        <w:t>Example: If a confirmed employee's resignation is effective on 1 August, the 60-calendar-day notice period begins on 1 August. The applicable Last Working Day is determined by counting 60 calendar days from the resignation effective date, including the resignation date as Day 1.</w:t>
      </w:r>
    </w:p>
    <w:p>
      <w:pPr>
        <w:keepNext/>
        <w:spacing w:before="240" w:after="80"/>
      </w:pPr>
      <w:r>
        <w:rPr>
          <w:rFonts w:ascii="Arial" w:hAnsi="Arial"/>
          <w:b/>
          <w:color w:val="0284C7"/>
          <w:sz w:val="20"/>
        </w:rPr>
        <w:t>7.3 Resignation &amp; Notice Period Governance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rFonts w:ascii="Arial" w:hAnsi="Arial"/>
                <w:b/>
                <w:color w:val="FFFFFF"/>
                <w:sz w:val="17"/>
              </w:rPr>
              <w:t>Employee Status</w:t>
            </w:r>
          </w:p>
        </w:tc>
        <w:tc>
          <w:tcPr>
            <w:tcW w:type="dxa" w:w="2340"/>
            <w:shd w:fill="0F172A"/>
          </w:tcPr>
          <w:p>
            <w:r>
              <w:rPr>
                <w:rFonts w:ascii="Arial" w:hAnsi="Arial"/>
                <w:b/>
                <w:color w:val="FFFFFF"/>
                <w:sz w:val="17"/>
              </w:rPr>
              <w:t>Standard Notice</w:t>
            </w:r>
          </w:p>
        </w:tc>
        <w:tc>
          <w:tcPr>
            <w:tcW w:type="dxa" w:w="2340"/>
            <w:shd w:fill="0F172A"/>
          </w:tcPr>
          <w:p>
            <w:r>
              <w:rPr>
                <w:rFonts w:ascii="Arial" w:hAnsi="Arial"/>
                <w:b/>
                <w:color w:val="FFFFFF"/>
                <w:sz w:val="17"/>
              </w:rPr>
              <w:t>Buyout</w:t>
            </w:r>
          </w:p>
        </w:tc>
        <w:tc>
          <w:tcPr>
            <w:tcW w:type="dxa" w:w="2340"/>
            <w:shd w:fill="0F172A"/>
          </w:tcPr>
          <w:p>
            <w:r>
              <w:rPr>
                <w:rFonts w:ascii="Arial" w:hAnsi="Arial"/>
                <w:b/>
                <w:color w:val="FFFFFF"/>
                <w:sz w:val="17"/>
              </w:rPr>
              <w:t>Approval</w:t>
            </w:r>
          </w:p>
        </w:tc>
      </w:tr>
      <w:tr>
        <w:tc>
          <w:tcPr>
            <w:tcW w:type="dxa" w:w="2340"/>
            <w:shd w:fill="F8FAFC"/>
          </w:tcPr>
          <w:p>
            <w:r>
              <w:rPr>
                <w:rFonts w:ascii="Arial" w:hAnsi="Arial"/>
                <w:color w:val="1E293B"/>
                <w:sz w:val="16"/>
              </w:rPr>
              <w:t>Probationary Employee</w:t>
            </w:r>
          </w:p>
        </w:tc>
        <w:tc>
          <w:tcPr>
            <w:tcW w:type="dxa" w:w="2340"/>
            <w:shd w:fill="F8FAFC"/>
          </w:tcPr>
          <w:p>
            <w:r>
              <w:rPr>
                <w:rFonts w:ascii="Arial" w:hAnsi="Arial"/>
                <w:color w:val="1E293B"/>
                <w:sz w:val="16"/>
              </w:rPr>
              <w:t>30 calendar days</w:t>
            </w:r>
          </w:p>
        </w:tc>
        <w:tc>
          <w:tcPr>
            <w:tcW w:type="dxa" w:w="2340"/>
            <w:shd w:fill="F8FAFC"/>
          </w:tcPr>
          <w:p>
            <w:r>
              <w:rPr>
                <w:rFonts w:ascii="Arial" w:hAnsi="Arial"/>
                <w:color w:val="1E293B"/>
                <w:sz w:val="16"/>
              </w:rPr>
              <w:t>Permitted subject to approval</w:t>
            </w:r>
          </w:p>
        </w:tc>
        <w:tc>
          <w:tcPr>
            <w:tcW w:type="dxa" w:w="2340"/>
            <w:shd w:fill="F8FAFC"/>
          </w:tcPr>
          <w:p>
            <w:r>
              <w:rPr>
                <w:rFonts w:ascii="Arial" w:hAnsi="Arial"/>
                <w:color w:val="1E293B"/>
                <w:sz w:val="16"/>
              </w:rPr>
              <w:t>Reporting Manager + HR Operations</w:t>
            </w:r>
          </w:p>
        </w:tc>
      </w:tr>
      <w:tr>
        <w:tc>
          <w:tcPr>
            <w:tcW w:type="dxa" w:w="2340"/>
            <w:shd w:fill="FFFFFF"/>
          </w:tcPr>
          <w:p>
            <w:r>
              <w:rPr>
                <w:rFonts w:ascii="Arial" w:hAnsi="Arial"/>
                <w:color w:val="1E293B"/>
                <w:sz w:val="16"/>
              </w:rPr>
              <w:t>Confirmed Employee</w:t>
            </w:r>
          </w:p>
        </w:tc>
        <w:tc>
          <w:tcPr>
            <w:tcW w:type="dxa" w:w="2340"/>
            <w:shd w:fill="FFFFFF"/>
          </w:tcPr>
          <w:p>
            <w:r>
              <w:rPr>
                <w:rFonts w:ascii="Arial" w:hAnsi="Arial"/>
                <w:color w:val="1E293B"/>
                <w:sz w:val="16"/>
              </w:rPr>
              <w:t>60 calendar days</w:t>
            </w:r>
          </w:p>
        </w:tc>
        <w:tc>
          <w:tcPr>
            <w:tcW w:type="dxa" w:w="2340"/>
            <w:shd w:fill="FFFFFF"/>
          </w:tcPr>
          <w:p>
            <w:r>
              <w:rPr>
                <w:rFonts w:ascii="Arial" w:hAnsi="Arial"/>
                <w:color w:val="1E293B"/>
                <w:sz w:val="16"/>
              </w:rPr>
              <w:t>Permitted subject to approval</w:t>
            </w:r>
          </w:p>
        </w:tc>
        <w:tc>
          <w:tcPr>
            <w:tcW w:type="dxa" w:w="2340"/>
            <w:shd w:fill="FFFFFF"/>
          </w:tcPr>
          <w:p>
            <w:r>
              <w:rPr>
                <w:rFonts w:ascii="Arial" w:hAnsi="Arial"/>
                <w:color w:val="1E293B"/>
                <w:sz w:val="16"/>
              </w:rPr>
              <w:t>Reporting Manager + HR Operations</w:t>
            </w:r>
          </w:p>
        </w:tc>
      </w:tr>
      <w:tr>
        <w:tc>
          <w:tcPr>
            <w:tcW w:type="dxa" w:w="2340"/>
            <w:shd w:fill="F8FAFC"/>
          </w:tcPr>
          <w:p>
            <w:r>
              <w:rPr>
                <w:rFonts w:ascii="Arial" w:hAnsi="Arial"/>
                <w:color w:val="1E293B"/>
                <w:sz w:val="16"/>
              </w:rPr>
              <w:t>Department Head / Senior Leadership</w:t>
            </w:r>
          </w:p>
        </w:tc>
        <w:tc>
          <w:tcPr>
            <w:tcW w:type="dxa" w:w="2340"/>
            <w:shd w:fill="F8FAFC"/>
          </w:tcPr>
          <w:p>
            <w:r>
              <w:rPr>
                <w:rFonts w:ascii="Arial" w:hAnsi="Arial"/>
                <w:color w:val="1E293B"/>
                <w:sz w:val="16"/>
              </w:rPr>
              <w:t>60 calendar days</w:t>
            </w:r>
          </w:p>
        </w:tc>
        <w:tc>
          <w:tcPr>
            <w:tcW w:type="dxa" w:w="2340"/>
            <w:shd w:fill="F8FAFC"/>
          </w:tcPr>
          <w:p>
            <w:r>
              <w:rPr>
                <w:rFonts w:ascii="Arial" w:hAnsi="Arial"/>
                <w:color w:val="1E293B"/>
                <w:sz w:val="16"/>
              </w:rPr>
              <w:t>Restricted</w:t>
            </w:r>
          </w:p>
        </w:tc>
        <w:tc>
          <w:tcPr>
            <w:tcW w:type="dxa" w:w="2340"/>
            <w:shd w:fill="F8FAFC"/>
          </w:tcPr>
          <w:p>
            <w:r>
              <w:rPr>
                <w:rFonts w:ascii="Arial" w:hAnsi="Arial"/>
                <w:color w:val="1E293B"/>
                <w:sz w:val="16"/>
              </w:rPr>
              <w:t>Department Head + HR Director</w:t>
            </w:r>
          </w:p>
        </w:tc>
      </w:tr>
      <w:tr>
        <w:tc>
          <w:tcPr>
            <w:tcW w:type="dxa" w:w="2340"/>
            <w:shd w:fill="FFFFFF"/>
          </w:tcPr>
          <w:p>
            <w:r>
              <w:rPr>
                <w:rFonts w:ascii="Arial" w:hAnsi="Arial"/>
                <w:color w:val="1E293B"/>
                <w:sz w:val="16"/>
              </w:rPr>
              <w:t>Intern</w:t>
            </w:r>
          </w:p>
        </w:tc>
        <w:tc>
          <w:tcPr>
            <w:tcW w:type="dxa" w:w="2340"/>
            <w:shd w:fill="FFFFFF"/>
          </w:tcPr>
          <w:p>
            <w:r>
              <w:rPr>
                <w:rFonts w:ascii="Arial" w:hAnsi="Arial"/>
                <w:color w:val="1E293B"/>
                <w:sz w:val="16"/>
              </w:rPr>
              <w:t>As per internship terms</w:t>
            </w:r>
          </w:p>
        </w:tc>
        <w:tc>
          <w:tcPr>
            <w:tcW w:type="dxa" w:w="2340"/>
            <w:shd w:fill="FFFFFF"/>
          </w:tcPr>
          <w:p>
            <w:r>
              <w:rPr>
                <w:rFonts w:ascii="Arial" w:hAnsi="Arial"/>
                <w:color w:val="1E293B"/>
                <w:sz w:val="16"/>
              </w:rPr>
              <w:t>Subject to internship terms</w:t>
            </w:r>
          </w:p>
        </w:tc>
        <w:tc>
          <w:tcPr>
            <w:tcW w:type="dxa" w:w="2340"/>
            <w:shd w:fill="FFFFFF"/>
          </w:tcPr>
          <w:p>
            <w:r>
              <w:rPr>
                <w:rFonts w:ascii="Arial" w:hAnsi="Arial"/>
                <w:color w:val="1E293B"/>
                <w:sz w:val="16"/>
              </w:rPr>
              <w:t>Reporting Manager + HR Operations</w:t>
            </w:r>
          </w:p>
        </w:tc>
      </w:tr>
      <w:tr>
        <w:tc>
          <w:tcPr>
            <w:tcW w:type="dxa" w:w="2340"/>
            <w:shd w:fill="F8FAFC"/>
          </w:tcPr>
          <w:p>
            <w:r>
              <w:rPr>
                <w:rFonts w:ascii="Arial" w:hAnsi="Arial"/>
                <w:color w:val="1E293B"/>
                <w:sz w:val="16"/>
              </w:rPr>
              <w:t>Contractor</w:t>
            </w:r>
          </w:p>
        </w:tc>
        <w:tc>
          <w:tcPr>
            <w:tcW w:type="dxa" w:w="2340"/>
            <w:shd w:fill="F8FAFC"/>
          </w:tcPr>
          <w:p>
            <w:r>
              <w:rPr>
                <w:rFonts w:ascii="Arial" w:hAnsi="Arial"/>
                <w:color w:val="1E293B"/>
                <w:sz w:val="16"/>
              </w:rPr>
              <w:t>As per vendor contract</w:t>
            </w:r>
          </w:p>
        </w:tc>
        <w:tc>
          <w:tcPr>
            <w:tcW w:type="dxa" w:w="2340"/>
            <w:shd w:fill="F8FAFC"/>
          </w:tcPr>
          <w:p>
            <w:r>
              <w:rPr>
                <w:rFonts w:ascii="Arial" w:hAnsi="Arial"/>
                <w:color w:val="1E293B"/>
                <w:sz w:val="16"/>
              </w:rPr>
              <w:t>As per vendor contract</w:t>
            </w:r>
          </w:p>
        </w:tc>
        <w:tc>
          <w:tcPr>
            <w:tcW w:type="dxa" w:w="2340"/>
            <w:shd w:fill="F8FAFC"/>
          </w:tcPr>
          <w:p>
            <w:r>
              <w:rPr>
                <w:rFonts w:ascii="Arial" w:hAnsi="Arial"/>
                <w:color w:val="1E293B"/>
                <w:sz w:val="16"/>
              </w:rPr>
              <w:t>Vendor / Company Contract Authority</w:t>
            </w:r>
          </w:p>
        </w:tc>
      </w:tr>
    </w:tbl>
    <w:p>
      <w:pPr>
        <w:keepNext/>
        <w:spacing w:before="320" w:after="120"/>
      </w:pPr>
      <w:r>
        <w:rPr>
          <w:rFonts w:ascii="Arial" w:hAnsi="Arial"/>
          <w:b/>
          <w:color w:val="0F172A"/>
          <w:sz w:val="24"/>
        </w:rPr>
        <w:t>8. Exit Process, Clearance &amp; Relieving Letters</w:t>
      </w:r>
    </w:p>
    <w:p>
      <w:pPr>
        <w:spacing w:before="0" w:after="100" w:line="276" w:lineRule="auto"/>
      </w:pPr>
      <w:r>
        <w:rPr>
          <w:rFonts w:ascii="Arial" w:hAnsi="Arial"/>
          <w:color w:val="1E293B"/>
          <w:sz w:val="19"/>
        </w:rPr>
        <w:t>Upon resignation acceptance, the employee enters multi-departmental exit clearance. Relieving and Experience Letters are published digitally within 15 working days post-last working day upon successful 100% clearance completion.</w:t>
      </w:r>
    </w:p>
    <w:p>
      <w:pPr>
        <w:keepNext/>
        <w:spacing w:before="240" w:after="80"/>
      </w:pPr>
      <w:r>
        <w:rPr>
          <w:rFonts w:ascii="Arial" w:hAnsi="Arial"/>
          <w:b/>
          <w:color w:val="0284C7"/>
          <w:sz w:val="20"/>
        </w:rPr>
        <w:t>8.1 Multi-Departmental Exit Clearance Matrix</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rFonts w:ascii="Arial" w:hAnsi="Arial"/>
                <w:b/>
                <w:color w:val="FFFFFF"/>
                <w:sz w:val="17"/>
              </w:rPr>
              <w:t>Department</w:t>
            </w:r>
          </w:p>
        </w:tc>
        <w:tc>
          <w:tcPr>
            <w:tcW w:type="dxa" w:w="3120"/>
            <w:shd w:fill="0F172A"/>
          </w:tcPr>
          <w:p>
            <w:r>
              <w:rPr>
                <w:rFonts w:ascii="Arial" w:hAnsi="Arial"/>
                <w:b/>
                <w:color w:val="FFFFFF"/>
                <w:sz w:val="17"/>
              </w:rPr>
              <w:t>Clearance Items Required</w:t>
            </w:r>
          </w:p>
        </w:tc>
        <w:tc>
          <w:tcPr>
            <w:tcW w:type="dxa" w:w="3120"/>
            <w:shd w:fill="0F172A"/>
          </w:tcPr>
          <w:p>
            <w:r>
              <w:rPr>
                <w:rFonts w:ascii="Arial" w:hAnsi="Arial"/>
                <w:b/>
                <w:color w:val="FFFFFF"/>
                <w:sz w:val="17"/>
              </w:rPr>
              <w:t>Clearance SLA</w:t>
            </w:r>
          </w:p>
        </w:tc>
      </w:tr>
      <w:tr>
        <w:tc>
          <w:tcPr>
            <w:tcW w:type="dxa" w:w="3120"/>
            <w:shd w:fill="F8FAFC"/>
          </w:tcPr>
          <w:p>
            <w:r>
              <w:rPr>
                <w:rFonts w:ascii="Arial" w:hAnsi="Arial"/>
                <w:color w:val="1E293B"/>
                <w:sz w:val="16"/>
              </w:rPr>
              <w:t>Reporting Department</w:t>
            </w:r>
          </w:p>
        </w:tc>
        <w:tc>
          <w:tcPr>
            <w:tcW w:type="dxa" w:w="3120"/>
            <w:shd w:fill="F8FAFC"/>
          </w:tcPr>
          <w:p>
            <w:r>
              <w:rPr>
                <w:rFonts w:ascii="Arial" w:hAnsi="Arial"/>
                <w:color w:val="1E293B"/>
                <w:sz w:val="16"/>
              </w:rPr>
              <w:t>KT documentation sign-off, ongoing task transfer</w:t>
            </w:r>
          </w:p>
        </w:tc>
        <w:tc>
          <w:tcPr>
            <w:tcW w:type="dxa" w:w="3120"/>
            <w:shd w:fill="F8FAFC"/>
          </w:tcPr>
          <w:p>
            <w:r>
              <w:rPr>
                <w:rFonts w:ascii="Arial" w:hAnsi="Arial"/>
                <w:color w:val="1E293B"/>
                <w:sz w:val="16"/>
              </w:rPr>
              <w:t>Completed 3 days prior to LWD</w:t>
            </w:r>
          </w:p>
        </w:tc>
      </w:tr>
      <w:tr>
        <w:tc>
          <w:tcPr>
            <w:tcW w:type="dxa" w:w="3120"/>
            <w:shd w:fill="FFFFFF"/>
          </w:tcPr>
          <w:p>
            <w:r>
              <w:rPr>
                <w:rFonts w:ascii="Arial" w:hAnsi="Arial"/>
                <w:color w:val="1E293B"/>
                <w:sz w:val="16"/>
              </w:rPr>
              <w:t>IT Support &amp; Assets</w:t>
            </w:r>
          </w:p>
        </w:tc>
        <w:tc>
          <w:tcPr>
            <w:tcW w:type="dxa" w:w="3120"/>
            <w:shd w:fill="FFFFFF"/>
          </w:tcPr>
          <w:p>
            <w:r>
              <w:rPr>
                <w:rFonts w:ascii="Arial" w:hAnsi="Arial"/>
                <w:color w:val="1E293B"/>
                <w:sz w:val="16"/>
              </w:rPr>
              <w:t>Return of company laptop, peripherals, software de-provisioning</w:t>
            </w:r>
          </w:p>
        </w:tc>
        <w:tc>
          <w:tcPr>
            <w:tcW w:type="dxa" w:w="3120"/>
            <w:shd w:fill="FFFFFF"/>
          </w:tcPr>
          <w:p>
            <w:r>
              <w:rPr>
                <w:rFonts w:ascii="Arial" w:hAnsi="Arial"/>
                <w:color w:val="1E293B"/>
                <w:sz w:val="16"/>
              </w:rPr>
              <w:t>Completed on Last Working Day</w:t>
            </w:r>
          </w:p>
        </w:tc>
      </w:tr>
      <w:tr>
        <w:tc>
          <w:tcPr>
            <w:tcW w:type="dxa" w:w="3120"/>
            <w:shd w:fill="F8FAFC"/>
          </w:tcPr>
          <w:p>
            <w:r>
              <w:rPr>
                <w:rFonts w:ascii="Arial" w:hAnsi="Arial"/>
                <w:color w:val="1E293B"/>
                <w:sz w:val="16"/>
              </w:rPr>
              <w:t>Administration</w:t>
            </w:r>
          </w:p>
        </w:tc>
        <w:tc>
          <w:tcPr>
            <w:tcW w:type="dxa" w:w="3120"/>
            <w:shd w:fill="F8FAFC"/>
          </w:tcPr>
          <w:p>
            <w:r>
              <w:rPr>
                <w:rFonts w:ascii="Arial" w:hAnsi="Arial"/>
                <w:color w:val="1E293B"/>
                <w:sz w:val="16"/>
              </w:rPr>
              <w:t>Return of physical ID card, office access badge, drawer keys</w:t>
            </w:r>
          </w:p>
        </w:tc>
        <w:tc>
          <w:tcPr>
            <w:tcW w:type="dxa" w:w="3120"/>
            <w:shd w:fill="F8FAFC"/>
          </w:tcPr>
          <w:p>
            <w:r>
              <w:rPr>
                <w:rFonts w:ascii="Arial" w:hAnsi="Arial"/>
                <w:color w:val="1E293B"/>
                <w:sz w:val="16"/>
              </w:rPr>
              <w:t>Completed on Last Working Day</w:t>
            </w:r>
          </w:p>
        </w:tc>
      </w:tr>
      <w:tr>
        <w:tc>
          <w:tcPr>
            <w:tcW w:type="dxa" w:w="3120"/>
            <w:shd w:fill="FFFFFF"/>
          </w:tcPr>
          <w:p>
            <w:r>
              <w:rPr>
                <w:rFonts w:ascii="Arial" w:hAnsi="Arial"/>
                <w:color w:val="1E293B"/>
                <w:sz w:val="16"/>
              </w:rPr>
              <w:t>Finance &amp; Payroll</w:t>
            </w:r>
          </w:p>
        </w:tc>
        <w:tc>
          <w:tcPr>
            <w:tcW w:type="dxa" w:w="3120"/>
            <w:shd w:fill="FFFFFF"/>
          </w:tcPr>
          <w:p>
            <w:r>
              <w:rPr>
                <w:rFonts w:ascii="Arial" w:hAnsi="Arial"/>
                <w:color w:val="1E293B"/>
                <w:sz w:val="16"/>
              </w:rPr>
              <w:t>Reconciliation of expense claims, corporate cards, FnF computation</w:t>
            </w:r>
          </w:p>
        </w:tc>
        <w:tc>
          <w:tcPr>
            <w:tcW w:type="dxa" w:w="3120"/>
            <w:shd w:fill="FFFFFF"/>
          </w:tcPr>
          <w:p>
            <w:r>
              <w:rPr>
                <w:rFonts w:ascii="Arial" w:hAnsi="Arial"/>
                <w:color w:val="1E293B"/>
                <w:sz w:val="16"/>
              </w:rPr>
              <w:t>Within 30–45 days post-LWD</w:t>
            </w:r>
          </w:p>
        </w:tc>
      </w:tr>
      <w:tr>
        <w:tc>
          <w:tcPr>
            <w:tcW w:type="dxa" w:w="3120"/>
            <w:shd w:fill="F8FAFC"/>
          </w:tcPr>
          <w:p>
            <w:r>
              <w:rPr>
                <w:rFonts w:ascii="Arial" w:hAnsi="Arial"/>
                <w:color w:val="1E293B"/>
                <w:sz w:val="16"/>
              </w:rPr>
              <w:t>Human Resources</w:t>
            </w:r>
          </w:p>
        </w:tc>
        <w:tc>
          <w:tcPr>
            <w:tcW w:type="dxa" w:w="3120"/>
            <w:shd w:fill="F8FAFC"/>
          </w:tcPr>
          <w:p>
            <w:r>
              <w:rPr>
                <w:rFonts w:ascii="Arial" w:hAnsi="Arial"/>
                <w:color w:val="1E293B"/>
                <w:sz w:val="16"/>
              </w:rPr>
              <w:t>Exit interview completion, final deactivation, letter release</w:t>
            </w:r>
          </w:p>
        </w:tc>
        <w:tc>
          <w:tcPr>
            <w:tcW w:type="dxa" w:w="3120"/>
            <w:shd w:fill="F8FAFC"/>
          </w:tcPr>
          <w:p>
            <w:r>
              <w:rPr>
                <w:rFonts w:ascii="Arial" w:hAnsi="Arial"/>
                <w:color w:val="1E293B"/>
                <w:sz w:val="16"/>
              </w:rPr>
              <w:t>Letters issued within 15 days post-LWD</w:t>
            </w:r>
          </w:p>
        </w:tc>
      </w:tr>
    </w:tbl>
    <w:p>
      <w:pPr>
        <w:keepNext/>
        <w:spacing w:before="320" w:after="120"/>
      </w:pPr>
      <w:r>
        <w:rPr>
          <w:rFonts w:ascii="Arial" w:hAnsi="Arial"/>
          <w:b/>
          <w:color w:val="0F172A"/>
          <w:sz w:val="24"/>
        </w:rPr>
        <w:t>9. Employee Lifecycle Approval &amp; Authority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rFonts w:ascii="Arial" w:hAnsi="Arial"/>
                <w:b/>
                <w:color w:val="FFFFFF"/>
                <w:sz w:val="17"/>
              </w:rPr>
              <w:t>Lifecycle Action</w:t>
            </w:r>
          </w:p>
        </w:tc>
        <w:tc>
          <w:tcPr>
            <w:tcW w:type="dxa" w:w="2340"/>
            <w:shd w:fill="0F172A"/>
          </w:tcPr>
          <w:p>
            <w:r>
              <w:rPr>
                <w:rFonts w:ascii="Arial" w:hAnsi="Arial"/>
                <w:b/>
                <w:color w:val="FFFFFF"/>
                <w:sz w:val="17"/>
              </w:rPr>
              <w:t>Initiator</w:t>
            </w:r>
          </w:p>
        </w:tc>
        <w:tc>
          <w:tcPr>
            <w:tcW w:type="dxa" w:w="2340"/>
            <w:shd w:fill="0F172A"/>
          </w:tcPr>
          <w:p>
            <w:r>
              <w:rPr>
                <w:rFonts w:ascii="Arial" w:hAnsi="Arial"/>
                <w:b/>
                <w:color w:val="FFFFFF"/>
                <w:sz w:val="17"/>
              </w:rPr>
              <w:t>Reviewing Authority</w:t>
            </w:r>
          </w:p>
        </w:tc>
        <w:tc>
          <w:tcPr>
            <w:tcW w:type="dxa" w:w="2340"/>
            <w:shd w:fill="0F172A"/>
          </w:tcPr>
          <w:p>
            <w:r>
              <w:rPr>
                <w:rFonts w:ascii="Arial" w:hAnsi="Arial"/>
                <w:b/>
                <w:color w:val="FFFFFF"/>
                <w:sz w:val="17"/>
              </w:rPr>
              <w:t>Final Approval Authority</w:t>
            </w:r>
          </w:p>
        </w:tc>
      </w:tr>
      <w:tr>
        <w:tc>
          <w:tcPr>
            <w:tcW w:type="dxa" w:w="2340"/>
            <w:shd w:fill="F8FAFC"/>
          </w:tcPr>
          <w:p>
            <w:r>
              <w:rPr>
                <w:rFonts w:ascii="Arial" w:hAnsi="Arial"/>
                <w:color w:val="1E293B"/>
                <w:sz w:val="16"/>
              </w:rPr>
              <w:t>Probation Confirmation</w:t>
            </w:r>
          </w:p>
        </w:tc>
        <w:tc>
          <w:tcPr>
            <w:tcW w:type="dxa" w:w="2340"/>
            <w:shd w:fill="F8FAFC"/>
          </w:tcPr>
          <w:p>
            <w:r>
              <w:rPr>
                <w:rFonts w:ascii="Arial" w:hAnsi="Arial"/>
                <w:color w:val="1E293B"/>
                <w:sz w:val="16"/>
              </w:rPr>
              <w:t>Reporting Manager</w:t>
            </w:r>
          </w:p>
        </w:tc>
        <w:tc>
          <w:tcPr>
            <w:tcW w:type="dxa" w:w="2340"/>
            <w:shd w:fill="F8FAFC"/>
          </w:tcPr>
          <w:p>
            <w:r>
              <w:rPr>
                <w:rFonts w:ascii="Arial" w:hAnsi="Arial"/>
                <w:color w:val="1E293B"/>
                <w:sz w:val="16"/>
              </w:rPr>
              <w:t>HR Operations</w:t>
            </w:r>
          </w:p>
        </w:tc>
        <w:tc>
          <w:tcPr>
            <w:tcW w:type="dxa" w:w="2340"/>
            <w:shd w:fill="F8FAFC"/>
          </w:tcPr>
          <w:p>
            <w:r>
              <w:rPr>
                <w:rFonts w:ascii="Arial" w:hAnsi="Arial"/>
                <w:color w:val="1E293B"/>
                <w:sz w:val="16"/>
              </w:rPr>
              <w:t>Head of Human Resources</w:t>
            </w:r>
          </w:p>
        </w:tc>
      </w:tr>
      <w:tr>
        <w:tc>
          <w:tcPr>
            <w:tcW w:type="dxa" w:w="2340"/>
            <w:shd w:fill="FFFFFF"/>
          </w:tcPr>
          <w:p>
            <w:r>
              <w:rPr>
                <w:rFonts w:ascii="Arial" w:hAnsi="Arial"/>
                <w:color w:val="1E293B"/>
                <w:sz w:val="16"/>
              </w:rPr>
              <w:t>Biannual Promotion</w:t>
            </w:r>
          </w:p>
        </w:tc>
        <w:tc>
          <w:tcPr>
            <w:tcW w:type="dxa" w:w="2340"/>
            <w:shd w:fill="FFFFFF"/>
          </w:tcPr>
          <w:p>
            <w:r>
              <w:rPr>
                <w:rFonts w:ascii="Arial" w:hAnsi="Arial"/>
                <w:color w:val="1E293B"/>
                <w:sz w:val="16"/>
              </w:rPr>
              <w:t>Reporting Manager</w:t>
            </w:r>
          </w:p>
        </w:tc>
        <w:tc>
          <w:tcPr>
            <w:tcW w:type="dxa" w:w="2340"/>
            <w:shd w:fill="FFFFFF"/>
          </w:tcPr>
          <w:p>
            <w:r>
              <w:rPr>
                <w:rFonts w:ascii="Arial" w:hAnsi="Arial"/>
                <w:color w:val="1E293B"/>
                <w:sz w:val="16"/>
              </w:rPr>
              <w:t>Promotion Committee</w:t>
            </w:r>
          </w:p>
        </w:tc>
        <w:tc>
          <w:tcPr>
            <w:tcW w:type="dxa" w:w="2340"/>
            <w:shd w:fill="FFFFFF"/>
          </w:tcPr>
          <w:p>
            <w:r>
              <w:rPr>
                <w:rFonts w:ascii="Arial" w:hAnsi="Arial"/>
                <w:color w:val="1E293B"/>
                <w:sz w:val="16"/>
              </w:rPr>
              <w:t>Department Head + HR</w:t>
            </w:r>
          </w:p>
        </w:tc>
      </w:tr>
      <w:tr>
        <w:tc>
          <w:tcPr>
            <w:tcW w:type="dxa" w:w="2340"/>
            <w:shd w:fill="F8FAFC"/>
          </w:tcPr>
          <w:p>
            <w:r>
              <w:rPr>
                <w:rFonts w:ascii="Arial" w:hAnsi="Arial"/>
                <w:color w:val="1E293B"/>
                <w:sz w:val="16"/>
              </w:rPr>
              <w:t>Internal Branch Transfer</w:t>
            </w:r>
          </w:p>
        </w:tc>
        <w:tc>
          <w:tcPr>
            <w:tcW w:type="dxa" w:w="2340"/>
            <w:shd w:fill="F8FAFC"/>
          </w:tcPr>
          <w:p>
            <w:r>
              <w:rPr>
                <w:rFonts w:ascii="Arial" w:hAnsi="Arial"/>
                <w:color w:val="1E293B"/>
                <w:sz w:val="16"/>
              </w:rPr>
              <w:t>Employee</w:t>
            </w:r>
          </w:p>
        </w:tc>
        <w:tc>
          <w:tcPr>
            <w:tcW w:type="dxa" w:w="2340"/>
            <w:shd w:fill="F8FAFC"/>
          </w:tcPr>
          <w:p>
            <w:r>
              <w:rPr>
                <w:rFonts w:ascii="Arial" w:hAnsi="Arial"/>
                <w:color w:val="1E293B"/>
                <w:sz w:val="16"/>
              </w:rPr>
              <w:t>Sending &amp; Receiving Managers</w:t>
            </w:r>
          </w:p>
        </w:tc>
        <w:tc>
          <w:tcPr>
            <w:tcW w:type="dxa" w:w="2340"/>
            <w:shd w:fill="F8FAFC"/>
          </w:tcPr>
          <w:p>
            <w:r>
              <w:rPr>
                <w:rFonts w:ascii="Arial" w:hAnsi="Arial"/>
                <w:color w:val="1E293B"/>
                <w:sz w:val="16"/>
              </w:rPr>
              <w:t>HR Operations Lead</w:t>
            </w:r>
          </w:p>
        </w:tc>
      </w:tr>
      <w:tr>
        <w:tc>
          <w:tcPr>
            <w:tcW w:type="dxa" w:w="2340"/>
            <w:shd w:fill="FFFFFF"/>
          </w:tcPr>
          <w:p>
            <w:r>
              <w:rPr>
                <w:rFonts w:ascii="Arial" w:hAnsi="Arial"/>
                <w:color w:val="1E293B"/>
                <w:sz w:val="16"/>
              </w:rPr>
              <w:t>Standard Notice Buyout</w:t>
            </w:r>
          </w:p>
        </w:tc>
        <w:tc>
          <w:tcPr>
            <w:tcW w:type="dxa" w:w="2340"/>
            <w:shd w:fill="FFFFFF"/>
          </w:tcPr>
          <w:p>
            <w:r>
              <w:rPr>
                <w:rFonts w:ascii="Arial" w:hAnsi="Arial"/>
                <w:color w:val="1E293B"/>
                <w:sz w:val="16"/>
              </w:rPr>
              <w:t>Employee</w:t>
            </w:r>
          </w:p>
        </w:tc>
        <w:tc>
          <w:tcPr>
            <w:tcW w:type="dxa" w:w="2340"/>
            <w:shd w:fill="FFFFFF"/>
          </w:tcPr>
          <w:p>
            <w:r>
              <w:rPr>
                <w:rFonts w:ascii="Arial" w:hAnsi="Arial"/>
                <w:color w:val="1E293B"/>
                <w:sz w:val="16"/>
              </w:rPr>
              <w:t>Reporting Manager + HR Operations</w:t>
            </w:r>
          </w:p>
        </w:tc>
        <w:tc>
          <w:tcPr>
            <w:tcW w:type="dxa" w:w="2340"/>
            <w:shd w:fill="FFFFFF"/>
          </w:tcPr>
          <w:p>
            <w:r>
              <w:rPr>
                <w:rFonts w:ascii="Arial" w:hAnsi="Arial"/>
                <w:color w:val="1E293B"/>
                <w:sz w:val="16"/>
              </w:rPr>
              <w:t>HR Operations</w:t>
            </w:r>
          </w:p>
        </w:tc>
      </w:tr>
      <w:tr>
        <w:tc>
          <w:tcPr>
            <w:tcW w:type="dxa" w:w="2340"/>
            <w:shd w:fill="F8FAFC"/>
          </w:tcPr>
          <w:p>
            <w:r>
              <w:rPr>
                <w:rFonts w:ascii="Arial" w:hAnsi="Arial"/>
                <w:color w:val="1E293B"/>
                <w:sz w:val="16"/>
              </w:rPr>
              <w:t>Senior Leadership Notice Buyout</w:t>
            </w:r>
          </w:p>
        </w:tc>
        <w:tc>
          <w:tcPr>
            <w:tcW w:type="dxa" w:w="2340"/>
            <w:shd w:fill="F8FAFC"/>
          </w:tcPr>
          <w:p>
            <w:r>
              <w:rPr>
                <w:rFonts w:ascii="Arial" w:hAnsi="Arial"/>
                <w:color w:val="1E293B"/>
                <w:sz w:val="16"/>
              </w:rPr>
              <w:t>Employee</w:t>
            </w:r>
          </w:p>
        </w:tc>
        <w:tc>
          <w:tcPr>
            <w:tcW w:type="dxa" w:w="2340"/>
            <w:shd w:fill="F8FAFC"/>
          </w:tcPr>
          <w:p>
            <w:r>
              <w:rPr>
                <w:rFonts w:ascii="Arial" w:hAnsi="Arial"/>
                <w:color w:val="1E293B"/>
                <w:sz w:val="16"/>
              </w:rPr>
              <w:t>Department Head + HR Director</w:t>
            </w:r>
          </w:p>
        </w:tc>
        <w:tc>
          <w:tcPr>
            <w:tcW w:type="dxa" w:w="2340"/>
            <w:shd w:fill="F8FAFC"/>
          </w:tcPr>
          <w:p>
            <w:r>
              <w:rPr>
                <w:rFonts w:ascii="Arial" w:hAnsi="Arial"/>
                <w:color w:val="1E293B"/>
                <w:sz w:val="16"/>
              </w:rPr>
              <w:t>HR Director</w:t>
            </w:r>
          </w:p>
        </w:tc>
      </w:tr>
      <w:tr>
        <w:tc>
          <w:tcPr>
            <w:tcW w:type="dxa" w:w="2340"/>
            <w:shd w:fill="FFFFFF"/>
          </w:tcPr>
          <w:p>
            <w:r>
              <w:rPr>
                <w:rFonts w:ascii="Arial" w:hAnsi="Arial"/>
                <w:color w:val="1E293B"/>
                <w:sz w:val="16"/>
              </w:rPr>
              <w:t>Resignation</w:t>
            </w:r>
          </w:p>
        </w:tc>
        <w:tc>
          <w:tcPr>
            <w:tcW w:type="dxa" w:w="2340"/>
            <w:shd w:fill="FFFFFF"/>
          </w:tcPr>
          <w:p>
            <w:r>
              <w:rPr>
                <w:rFonts w:ascii="Arial" w:hAnsi="Arial"/>
                <w:color w:val="1E293B"/>
                <w:sz w:val="16"/>
              </w:rPr>
              <w:t>Employee</w:t>
            </w:r>
          </w:p>
        </w:tc>
        <w:tc>
          <w:tcPr>
            <w:tcW w:type="dxa" w:w="2340"/>
            <w:shd w:fill="FFFFFF"/>
          </w:tcPr>
          <w:p>
            <w:r>
              <w:rPr>
                <w:rFonts w:ascii="Arial" w:hAnsi="Arial"/>
                <w:color w:val="1E293B"/>
                <w:sz w:val="16"/>
              </w:rPr>
              <w:t>Reporting Manager</w:t>
            </w:r>
          </w:p>
        </w:tc>
        <w:tc>
          <w:tcPr>
            <w:tcW w:type="dxa" w:w="2340"/>
            <w:shd w:fill="FFFFFF"/>
          </w:tcPr>
          <w:p>
            <w:r>
              <w:rPr>
                <w:rFonts w:ascii="Arial" w:hAnsi="Arial"/>
                <w:color w:val="1E293B"/>
                <w:sz w:val="16"/>
              </w:rPr>
              <w:t>HR Operations</w:t>
            </w:r>
          </w:p>
        </w:tc>
      </w:tr>
      <w:tr>
        <w:tc>
          <w:tcPr>
            <w:tcW w:type="dxa" w:w="2340"/>
            <w:shd w:fill="F8FAFC"/>
          </w:tcPr>
          <w:p>
            <w:r>
              <w:rPr>
                <w:rFonts w:ascii="Arial" w:hAnsi="Arial"/>
                <w:color w:val="1E293B"/>
                <w:sz w:val="16"/>
              </w:rPr>
              <w:t>Exit Clearance</w:t>
            </w:r>
          </w:p>
        </w:tc>
        <w:tc>
          <w:tcPr>
            <w:tcW w:type="dxa" w:w="2340"/>
            <w:shd w:fill="F8FAFC"/>
          </w:tcPr>
          <w:p>
            <w:r>
              <w:rPr>
                <w:rFonts w:ascii="Arial" w:hAnsi="Arial"/>
                <w:color w:val="1E293B"/>
                <w:sz w:val="16"/>
              </w:rPr>
              <w:t>Employee</w:t>
            </w:r>
          </w:p>
        </w:tc>
        <w:tc>
          <w:tcPr>
            <w:tcW w:type="dxa" w:w="2340"/>
            <w:shd w:fill="F8FAFC"/>
          </w:tcPr>
          <w:p>
            <w:r>
              <w:rPr>
                <w:rFonts w:ascii="Arial" w:hAnsi="Arial"/>
                <w:color w:val="1E293B"/>
                <w:sz w:val="16"/>
              </w:rPr>
              <w:t>IT / Finance / Admin / HR</w:t>
            </w:r>
          </w:p>
        </w:tc>
        <w:tc>
          <w:tcPr>
            <w:tcW w:type="dxa" w:w="2340"/>
            <w:shd w:fill="F8FAFC"/>
          </w:tcPr>
          <w:p>
            <w:r>
              <w:rPr>
                <w:rFonts w:ascii="Arial" w:hAnsi="Arial"/>
                <w:color w:val="1E293B"/>
                <w:sz w:val="16"/>
              </w:rPr>
              <w:t>Finance Lead + HR Lead</w:t>
            </w:r>
          </w:p>
        </w:tc>
      </w:tr>
    </w:tbl>
    <w:p>
      <w:pPr>
        <w:keepNext/>
        <w:spacing w:before="320" w:after="120"/>
      </w:pPr>
      <w:r>
        <w:rPr>
          <w:rFonts w:ascii="Arial" w:hAnsi="Arial"/>
          <w:b/>
          <w:color w:val="0F172A"/>
          <w:sz w:val="24"/>
        </w:rPr>
        <w:t>10. Lifecycle Operational Cutoff Matrix</w:t>
      </w:r>
    </w:p>
    <w:tbl>
      <w:tblPr>
        <w:tblW w:type="auto" w:w="0"/>
        <w:jc w:val="center"/>
        <w:tblLook w:firstColumn="1" w:firstRow="1" w:lastColumn="0" w:lastRow="0" w:noHBand="0" w:noVBand="1" w:val="04A0"/>
      </w:tblPr>
      <w:tblGrid>
        <w:gridCol w:w="4680"/>
        <w:gridCol w:w="4680"/>
      </w:tblGrid>
      <w:tr>
        <w:tc>
          <w:tcPr>
            <w:tcW w:type="dxa" w:w="4680"/>
            <w:shd w:fill="0F172A"/>
          </w:tcPr>
          <w:p>
            <w:r>
              <w:rPr>
                <w:rFonts w:ascii="Arial" w:hAnsi="Arial"/>
                <w:b/>
                <w:color w:val="FFFFFF"/>
                <w:sz w:val="17"/>
              </w:rPr>
              <w:t>Lifecycle Activity</w:t>
            </w:r>
          </w:p>
        </w:tc>
        <w:tc>
          <w:tcPr>
            <w:tcW w:type="dxa" w:w="4680"/>
            <w:shd w:fill="0F172A"/>
          </w:tcPr>
          <w:p>
            <w:r>
              <w:rPr>
                <w:rFonts w:ascii="Arial" w:hAnsi="Arial"/>
                <w:b/>
                <w:color w:val="FFFFFF"/>
                <w:sz w:val="17"/>
              </w:rPr>
              <w:t>Operational Deadline / SLA</w:t>
            </w:r>
          </w:p>
        </w:tc>
      </w:tr>
      <w:tr>
        <w:tc>
          <w:tcPr>
            <w:tcW w:type="dxa" w:w="4680"/>
            <w:shd w:fill="F8FAFC"/>
          </w:tcPr>
          <w:p>
            <w:r>
              <w:rPr>
                <w:rFonts w:ascii="Arial" w:hAnsi="Arial"/>
                <w:color w:val="1E293B"/>
                <w:sz w:val="16"/>
              </w:rPr>
              <w:t>Onboarding Documentation Submission</w:t>
            </w:r>
          </w:p>
        </w:tc>
        <w:tc>
          <w:tcPr>
            <w:tcW w:type="dxa" w:w="4680"/>
            <w:shd w:fill="F8FAFC"/>
          </w:tcPr>
          <w:p>
            <w:r>
              <w:rPr>
                <w:rFonts w:ascii="Arial" w:hAnsi="Arial"/>
                <w:color w:val="1E293B"/>
                <w:sz w:val="16"/>
              </w:rPr>
              <w:t>Within 3 working days of joining</w:t>
            </w:r>
          </w:p>
        </w:tc>
      </w:tr>
      <w:tr>
        <w:tc>
          <w:tcPr>
            <w:tcW w:type="dxa" w:w="4680"/>
            <w:shd w:fill="FFFFFF"/>
          </w:tcPr>
          <w:p>
            <w:r>
              <w:rPr>
                <w:rFonts w:ascii="Arial" w:hAnsi="Arial"/>
                <w:color w:val="1E293B"/>
                <w:sz w:val="16"/>
              </w:rPr>
              <w:t>Background Verification Completion</w:t>
            </w:r>
          </w:p>
        </w:tc>
        <w:tc>
          <w:tcPr>
            <w:tcW w:type="dxa" w:w="4680"/>
            <w:shd w:fill="FFFFFF"/>
          </w:tcPr>
          <w:p>
            <w:r>
              <w:rPr>
                <w:rFonts w:ascii="Arial" w:hAnsi="Arial"/>
                <w:color w:val="1E293B"/>
                <w:sz w:val="16"/>
              </w:rPr>
              <w:t>Within 90 calendar days of joining</w:t>
            </w:r>
          </w:p>
        </w:tc>
      </w:tr>
      <w:tr>
        <w:tc>
          <w:tcPr>
            <w:tcW w:type="dxa" w:w="4680"/>
            <w:shd w:fill="F8FAFC"/>
          </w:tcPr>
          <w:p>
            <w:r>
              <w:rPr>
                <w:rFonts w:ascii="Arial" w:hAnsi="Arial"/>
                <w:color w:val="1E293B"/>
                <w:sz w:val="16"/>
              </w:rPr>
              <w:t>Probation Confirmation Review</w:t>
            </w:r>
          </w:p>
        </w:tc>
        <w:tc>
          <w:tcPr>
            <w:tcW w:type="dxa" w:w="4680"/>
            <w:shd w:fill="F8FAFC"/>
          </w:tcPr>
          <w:p>
            <w:r>
              <w:rPr>
                <w:rFonts w:ascii="Arial" w:hAnsi="Arial"/>
                <w:color w:val="1E293B"/>
                <w:sz w:val="16"/>
              </w:rPr>
              <w:t>At the end of 6 months (Extendable by 3 months)</w:t>
            </w:r>
          </w:p>
        </w:tc>
      </w:tr>
      <w:tr>
        <w:tc>
          <w:tcPr>
            <w:tcW w:type="dxa" w:w="4680"/>
            <w:shd w:fill="FFFFFF"/>
          </w:tcPr>
          <w:p>
            <w:r>
              <w:rPr>
                <w:rFonts w:ascii="Arial" w:hAnsi="Arial"/>
                <w:color w:val="1E293B"/>
                <w:sz w:val="16"/>
              </w:rPr>
              <w:t>Biannual Promotion Cycles</w:t>
            </w:r>
          </w:p>
        </w:tc>
        <w:tc>
          <w:tcPr>
            <w:tcW w:type="dxa" w:w="4680"/>
            <w:shd w:fill="FFFFFF"/>
          </w:tcPr>
          <w:p>
            <w:r>
              <w:rPr>
                <w:rFonts w:ascii="Arial" w:hAnsi="Arial"/>
                <w:color w:val="1E293B"/>
                <w:sz w:val="16"/>
              </w:rPr>
              <w:t>Executed twice a year (Mid-year &amp; Year-end)</w:t>
            </w:r>
          </w:p>
        </w:tc>
      </w:tr>
      <w:tr>
        <w:tc>
          <w:tcPr>
            <w:tcW w:type="dxa" w:w="4680"/>
            <w:shd w:fill="F8FAFC"/>
          </w:tcPr>
          <w:p>
            <w:r>
              <w:rPr>
                <w:rFonts w:ascii="Arial" w:hAnsi="Arial"/>
                <w:color w:val="1E293B"/>
                <w:sz w:val="16"/>
              </w:rPr>
              <w:t>Transfer Request Submission</w:t>
            </w:r>
          </w:p>
        </w:tc>
        <w:tc>
          <w:tcPr>
            <w:tcW w:type="dxa" w:w="4680"/>
            <w:shd w:fill="F8FAFC"/>
          </w:tcPr>
          <w:p>
            <w:r>
              <w:rPr>
                <w:rFonts w:ascii="Arial" w:hAnsi="Arial"/>
                <w:color w:val="1E293B"/>
                <w:sz w:val="16"/>
              </w:rPr>
              <w:t>At least 60 calendar days prior to transfer date</w:t>
            </w:r>
          </w:p>
        </w:tc>
      </w:tr>
      <w:tr>
        <w:tc>
          <w:tcPr>
            <w:tcW w:type="dxa" w:w="4680"/>
            <w:shd w:fill="FFFFFF"/>
          </w:tcPr>
          <w:p>
            <w:r>
              <w:rPr>
                <w:rFonts w:ascii="Arial" w:hAnsi="Arial"/>
                <w:color w:val="1E293B"/>
                <w:sz w:val="16"/>
              </w:rPr>
              <w:t>Resignation Portal Acknowledgment SLA</w:t>
            </w:r>
          </w:p>
        </w:tc>
        <w:tc>
          <w:tcPr>
            <w:tcW w:type="dxa" w:w="4680"/>
            <w:shd w:fill="FFFFFF"/>
          </w:tcPr>
          <w:p>
            <w:r>
              <w:rPr>
                <w:rFonts w:ascii="Arial" w:hAnsi="Arial"/>
                <w:color w:val="1E293B"/>
                <w:sz w:val="16"/>
              </w:rPr>
              <w:t>Manager action required within 5 working days</w:t>
            </w:r>
          </w:p>
        </w:tc>
      </w:tr>
      <w:tr>
        <w:tc>
          <w:tcPr>
            <w:tcW w:type="dxa" w:w="4680"/>
            <w:shd w:fill="F8FAFC"/>
          </w:tcPr>
          <w:p>
            <w:r>
              <w:rPr>
                <w:rFonts w:ascii="Arial" w:hAnsi="Arial"/>
                <w:color w:val="1E293B"/>
                <w:sz w:val="16"/>
              </w:rPr>
              <w:t>Relieving &amp; Experience Letter Issuance</w:t>
            </w:r>
          </w:p>
        </w:tc>
        <w:tc>
          <w:tcPr>
            <w:tcW w:type="dxa" w:w="4680"/>
            <w:shd w:fill="F8FAFC"/>
          </w:tcPr>
          <w:p>
            <w:r>
              <w:rPr>
                <w:rFonts w:ascii="Arial" w:hAnsi="Arial"/>
                <w:color w:val="1E293B"/>
                <w:sz w:val="16"/>
              </w:rPr>
              <w:t>Within 15 working days post-LWD upon 100% clearance</w:t>
            </w:r>
          </w:p>
        </w:tc>
      </w:tr>
      <w:tr>
        <w:tc>
          <w:tcPr>
            <w:tcW w:type="dxa" w:w="4680"/>
            <w:shd w:fill="FFFFFF"/>
          </w:tcPr>
          <w:p>
            <w:r>
              <w:rPr>
                <w:rFonts w:ascii="Arial" w:hAnsi="Arial"/>
                <w:color w:val="1E293B"/>
                <w:sz w:val="16"/>
              </w:rPr>
              <w:t>Full-and-Final (FnF) Disbursement</w:t>
            </w:r>
          </w:p>
        </w:tc>
        <w:tc>
          <w:tcPr>
            <w:tcW w:type="dxa" w:w="4680"/>
            <w:shd w:fill="FFFFFF"/>
          </w:tcPr>
          <w:p>
            <w:r>
              <w:rPr>
                <w:rFonts w:ascii="Arial" w:hAnsi="Arial"/>
                <w:color w:val="1E293B"/>
                <w:sz w:val="16"/>
              </w:rPr>
              <w:t>Within 30–45 calendar days post-LWD</w:t>
            </w:r>
          </w:p>
        </w:tc>
      </w:tr>
    </w:tbl>
    <w:p>
      <w:pPr>
        <w:keepNext/>
        <w:spacing w:before="320" w:after="120"/>
      </w:pPr>
      <w:r>
        <w:rPr>
          <w:rFonts w:ascii="Arial" w:hAnsi="Arial"/>
          <w:b/>
          <w:color w:val="0F172A"/>
          <w:sz w:val="24"/>
        </w:rPr>
        <w:t>11. Lifecycle Scenarios &amp; Calculation Examples</w:t>
      </w:r>
    </w:p>
    <w:p>
      <w:pPr>
        <w:spacing w:before="0" w:after="100" w:line="276" w:lineRule="auto"/>
      </w:pPr>
      <w:r>
        <w:rPr>
          <w:rFonts w:ascii="Arial" w:hAnsi="Arial"/>
          <w:b/>
          <w:color w:val="1E293B"/>
          <w:sz w:val="19"/>
        </w:rPr>
        <w:t xml:space="preserve">Scenario A: </w:t>
      </w:r>
      <w:r>
        <w:rPr>
          <w:rFonts w:ascii="Arial" w:hAnsi="Arial"/>
          <w:color w:val="1E293B"/>
          <w:sz w:val="19"/>
        </w:rPr>
        <w:t>Probation Resignation: An employee resigning after 2 months of joining serves a 30-day notice period (probationary rate) rather than 60 days.</w:t>
      </w:r>
    </w:p>
    <w:p>
      <w:pPr>
        <w:spacing w:before="0" w:after="100" w:line="276" w:lineRule="auto"/>
      </w:pPr>
      <w:r>
        <w:rPr>
          <w:rFonts w:ascii="Arial" w:hAnsi="Arial"/>
          <w:b/>
          <w:color w:val="1E293B"/>
          <w:sz w:val="19"/>
        </w:rPr>
        <w:t xml:space="preserve">Scenario B: </w:t>
      </w:r>
      <w:r>
        <w:rPr>
          <w:rFonts w:ascii="Arial" w:hAnsi="Arial"/>
          <w:color w:val="1E293B"/>
          <w:sz w:val="19"/>
        </w:rPr>
        <w:t>Branch Transfer Request: An engineer requesting transfer from Chennai to Bangalore submits a portal ticket 60 days in advance (must have 1 year continuous service); payroll location and access cards update automatically upon effective transfer date.</w:t>
      </w:r>
    </w:p>
    <w:p>
      <w:pPr>
        <w:spacing w:before="0" w:after="100" w:line="276" w:lineRule="auto"/>
      </w:pPr>
      <w:r>
        <w:rPr>
          <w:rFonts w:ascii="Arial" w:hAnsi="Arial"/>
          <w:b/>
          <w:color w:val="1E293B"/>
          <w:sz w:val="19"/>
        </w:rPr>
        <w:t xml:space="preserve">Scenario C: </w:t>
      </w:r>
      <w:r>
        <w:rPr>
          <w:rFonts w:ascii="Arial" w:hAnsi="Arial"/>
          <w:color w:val="1E293B"/>
          <w:sz w:val="19"/>
        </w:rPr>
        <w:t>Notice Buyout Calculation: An employee serving 40 days of a 60-day notice period requests buyout for the remaining 20 days. Subject to approval, the unserved 20 days of basic salary are deducted in FnF settlement.</w:t>
      </w:r>
    </w:p>
    <w:p>
      <w:pPr>
        <w:keepNext/>
        <w:spacing w:before="320" w:after="120"/>
      </w:pPr>
      <w:r>
        <w:rPr>
          <w:rFonts w:ascii="Arial" w:hAnsi="Arial"/>
          <w:b/>
          <w:color w:val="0F172A"/>
          <w:sz w:val="24"/>
        </w:rPr>
        <w:t>12. Employee Lifecycle Decision Matrix</w:t>
      </w:r>
    </w:p>
    <w:p>
      <w:pPr>
        <w:spacing w:before="0" w:after="100" w:line="276" w:lineRule="auto"/>
      </w:pPr>
      <w:r>
        <w:rPr>
          <w:rFonts w:ascii="Arial" w:hAnsi="Arial"/>
          <w:b/>
          <w:color w:val="1E293B"/>
          <w:sz w:val="19"/>
        </w:rPr>
        <w:t xml:space="preserve">Question: </w:t>
      </w:r>
      <w:r>
        <w:rPr>
          <w:rFonts w:ascii="Arial" w:hAnsi="Arial"/>
          <w:color w:val="1E293B"/>
          <w:sz w:val="19"/>
        </w:rPr>
        <w:t>What is the standard notice period for confirmed employees?</w:t>
      </w:r>
    </w:p>
    <w:p>
      <w:pPr>
        <w:spacing w:before="0" w:after="100" w:line="276" w:lineRule="auto"/>
      </w:pPr>
      <w:r>
        <w:rPr>
          <w:rFonts w:ascii="Arial" w:hAnsi="Arial"/>
          <w:b/>
          <w:color w:val="1E293B"/>
          <w:sz w:val="19"/>
        </w:rPr>
        <w:t xml:space="preserve">Answer: </w:t>
      </w:r>
      <w:r>
        <w:rPr>
          <w:rFonts w:ascii="Arial" w:hAnsi="Arial"/>
          <w:color w:val="1E293B"/>
          <w:sz w:val="19"/>
        </w:rPr>
        <w:t>Confirmed employees must serve a 60-calendar-day notice period upon resignation.</w:t>
      </w:r>
    </w:p>
    <w:p>
      <w:pPr>
        <w:spacing w:before="0" w:after="100" w:line="276" w:lineRule="auto"/>
      </w:pPr>
      <w:r>
        <w:rPr>
          <w:rFonts w:ascii="Arial" w:hAnsi="Arial"/>
          <w:b/>
          <w:color w:val="1E293B"/>
          <w:sz w:val="19"/>
        </w:rPr>
        <w:t xml:space="preserve">Question: </w:t>
      </w:r>
      <w:r>
        <w:rPr>
          <w:rFonts w:ascii="Arial" w:hAnsi="Arial"/>
          <w:color w:val="1E293B"/>
          <w:sz w:val="19"/>
        </w:rPr>
        <w:t>What is the notice period for employees on probation?</w:t>
      </w:r>
    </w:p>
    <w:p>
      <w:pPr>
        <w:spacing w:before="0" w:after="100" w:line="276" w:lineRule="auto"/>
      </w:pPr>
      <w:r>
        <w:rPr>
          <w:rFonts w:ascii="Arial" w:hAnsi="Arial"/>
          <w:b/>
          <w:color w:val="1E293B"/>
          <w:sz w:val="19"/>
        </w:rPr>
        <w:t xml:space="preserve">Answer: </w:t>
      </w:r>
      <w:r>
        <w:rPr>
          <w:rFonts w:ascii="Arial" w:hAnsi="Arial"/>
          <w:color w:val="1E293B"/>
          <w:sz w:val="19"/>
        </w:rPr>
        <w:t>Probationary employees serve a 30-calendar-day notice period upon resignation.</w:t>
      </w:r>
    </w:p>
    <w:p>
      <w:pPr>
        <w:spacing w:before="0" w:after="100" w:line="276" w:lineRule="auto"/>
      </w:pPr>
      <w:r>
        <w:rPr>
          <w:rFonts w:ascii="Arial" w:hAnsi="Arial"/>
          <w:b/>
          <w:color w:val="1E293B"/>
          <w:sz w:val="19"/>
        </w:rPr>
        <w:t xml:space="preserve">Question: </w:t>
      </w:r>
      <w:r>
        <w:rPr>
          <w:rFonts w:ascii="Arial" w:hAnsi="Arial"/>
          <w:color w:val="1E293B"/>
          <w:sz w:val="19"/>
        </w:rPr>
        <w:t>How long is the standard probation period?</w:t>
      </w:r>
    </w:p>
    <w:p>
      <w:pPr>
        <w:spacing w:before="0" w:after="100" w:line="276" w:lineRule="auto"/>
      </w:pPr>
      <w:r>
        <w:rPr>
          <w:rFonts w:ascii="Arial" w:hAnsi="Arial"/>
          <w:b/>
          <w:color w:val="1E293B"/>
          <w:sz w:val="19"/>
        </w:rPr>
        <w:t xml:space="preserve">Answer: </w:t>
      </w:r>
      <w:r>
        <w:rPr>
          <w:rFonts w:ascii="Arial" w:hAnsi="Arial"/>
          <w:color w:val="1E293B"/>
          <w:sz w:val="19"/>
        </w:rPr>
        <w:t>The standard probation period is 6 months, extendable by up to 3 months if required.</w:t>
      </w:r>
    </w:p>
    <w:p>
      <w:pPr>
        <w:spacing w:before="0" w:after="100" w:line="276" w:lineRule="auto"/>
      </w:pPr>
      <w:r>
        <w:rPr>
          <w:rFonts w:ascii="Arial" w:hAnsi="Arial"/>
          <w:b/>
          <w:color w:val="1E293B"/>
          <w:sz w:val="19"/>
        </w:rPr>
        <w:t xml:space="preserve">Question: </w:t>
      </w:r>
      <w:r>
        <w:rPr>
          <w:rFonts w:ascii="Arial" w:hAnsi="Arial"/>
          <w:color w:val="1E293B"/>
          <w:sz w:val="19"/>
        </w:rPr>
        <w:t>Who approves probation confirmation?</w:t>
      </w:r>
    </w:p>
    <w:p>
      <w:pPr>
        <w:spacing w:before="0" w:after="100" w:line="276" w:lineRule="auto"/>
      </w:pPr>
      <w:r>
        <w:rPr>
          <w:rFonts w:ascii="Arial" w:hAnsi="Arial"/>
          <w:b/>
          <w:color w:val="1E293B"/>
          <w:sz w:val="19"/>
        </w:rPr>
        <w:t xml:space="preserve">Answer: </w:t>
      </w:r>
      <w:r>
        <w:rPr>
          <w:rFonts w:ascii="Arial" w:hAnsi="Arial"/>
          <w:color w:val="1E293B"/>
          <w:sz w:val="19"/>
        </w:rPr>
        <w:t>At the end of the 6-month probation period, the Reporting Manager submits a formal performance recommendation to HR Operations. HR Operations reviews the recommendation and supporting records. Final confirmation approval is granted by the Head of Human Resources, after which HR Operations issues the official confirmation letter.</w:t>
      </w:r>
    </w:p>
    <w:p>
      <w:pPr>
        <w:spacing w:before="0" w:after="100" w:line="276" w:lineRule="auto"/>
      </w:pPr>
      <w:r>
        <w:rPr>
          <w:rFonts w:ascii="Arial" w:hAnsi="Arial"/>
          <w:b/>
          <w:color w:val="1E293B"/>
          <w:sz w:val="19"/>
        </w:rPr>
        <w:t xml:space="preserve">Question: </w:t>
      </w:r>
      <w:r>
        <w:rPr>
          <w:rFonts w:ascii="Arial" w:hAnsi="Arial"/>
          <w:color w:val="1E293B"/>
          <w:sz w:val="19"/>
        </w:rPr>
        <w:t>How often does the promotion cycle run?</w:t>
      </w:r>
    </w:p>
    <w:p>
      <w:pPr>
        <w:spacing w:before="0" w:after="100" w:line="276" w:lineRule="auto"/>
      </w:pPr>
      <w:r>
        <w:rPr>
          <w:rFonts w:ascii="Arial" w:hAnsi="Arial"/>
          <w:b/>
          <w:color w:val="1E293B"/>
          <w:sz w:val="19"/>
        </w:rPr>
        <w:t xml:space="preserve">Answer: </w:t>
      </w:r>
      <w:r>
        <w:rPr>
          <w:rFonts w:ascii="Arial" w:hAnsi="Arial"/>
          <w:color w:val="1E293B"/>
          <w:sz w:val="19"/>
        </w:rPr>
        <w:t>Promotions are evaluated twice per calendar year during biannual performance reviews.</w:t>
      </w:r>
    </w:p>
    <w:p>
      <w:pPr>
        <w:spacing w:before="0" w:after="100" w:line="276" w:lineRule="auto"/>
      </w:pPr>
      <w:r>
        <w:rPr>
          <w:rFonts w:ascii="Arial" w:hAnsi="Arial"/>
          <w:b/>
          <w:color w:val="1E293B"/>
          <w:sz w:val="19"/>
        </w:rPr>
        <w:t xml:space="preserve">Question: </w:t>
      </w:r>
      <w:r>
        <w:rPr>
          <w:rFonts w:ascii="Arial" w:hAnsi="Arial"/>
          <w:color w:val="1E293B"/>
          <w:sz w:val="19"/>
        </w:rPr>
        <w:t>Who evaluates promotion nominations?</w:t>
      </w:r>
    </w:p>
    <w:p>
      <w:pPr>
        <w:spacing w:before="0" w:after="100" w:line="276" w:lineRule="auto"/>
      </w:pPr>
      <w:r>
        <w:rPr>
          <w:rFonts w:ascii="Arial" w:hAnsi="Arial"/>
          <w:b/>
          <w:color w:val="1E293B"/>
          <w:sz w:val="19"/>
        </w:rPr>
        <w:t xml:space="preserve">Answer: </w:t>
      </w:r>
      <w:r>
        <w:rPr>
          <w:rFonts w:ascii="Arial" w:hAnsi="Arial"/>
          <w:color w:val="1E293B"/>
          <w:sz w:val="19"/>
        </w:rPr>
        <w:t>A Promotion Committee consisting of Department Heads, Senior Leadership, and HR.</w:t>
      </w:r>
    </w:p>
    <w:p>
      <w:pPr>
        <w:spacing w:before="0" w:after="100" w:line="276" w:lineRule="auto"/>
      </w:pPr>
      <w:r>
        <w:rPr>
          <w:rFonts w:ascii="Arial" w:hAnsi="Arial"/>
          <w:b/>
          <w:color w:val="1E293B"/>
          <w:sz w:val="19"/>
        </w:rPr>
        <w:t xml:space="preserve">Question: </w:t>
      </w:r>
      <w:r>
        <w:rPr>
          <w:rFonts w:ascii="Arial" w:hAnsi="Arial"/>
          <w:color w:val="1E293B"/>
          <w:sz w:val="19"/>
        </w:rPr>
        <w:t>Who is eligible for internal department or branch transfers?</w:t>
      </w:r>
    </w:p>
    <w:p>
      <w:pPr>
        <w:spacing w:before="0" w:after="100" w:line="276" w:lineRule="auto"/>
      </w:pPr>
      <w:r>
        <w:rPr>
          <w:rFonts w:ascii="Arial" w:hAnsi="Arial"/>
          <w:b/>
          <w:color w:val="1E293B"/>
          <w:sz w:val="19"/>
        </w:rPr>
        <w:t xml:space="preserve">Answer: </w:t>
      </w:r>
      <w:r>
        <w:rPr>
          <w:rFonts w:ascii="Arial" w:hAnsi="Arial"/>
          <w:color w:val="1E293B"/>
          <w:sz w:val="19"/>
        </w:rPr>
        <w:t>Confirmed full-time employees who have completed at least 1 year of continuous service.</w:t>
      </w:r>
    </w:p>
    <w:p>
      <w:pPr>
        <w:spacing w:before="0" w:after="100" w:line="276" w:lineRule="auto"/>
      </w:pPr>
      <w:r>
        <w:rPr>
          <w:rFonts w:ascii="Arial" w:hAnsi="Arial"/>
          <w:b/>
          <w:color w:val="1E293B"/>
          <w:sz w:val="19"/>
        </w:rPr>
        <w:t xml:space="preserve">Question: </w:t>
      </w:r>
      <w:r>
        <w:rPr>
          <w:rFonts w:ascii="Arial" w:hAnsi="Arial"/>
          <w:color w:val="1E293B"/>
          <w:sz w:val="19"/>
        </w:rPr>
        <w:t>Who approves an internal transfer request?</w:t>
      </w:r>
    </w:p>
    <w:p>
      <w:pPr>
        <w:spacing w:before="0" w:after="100" w:line="276" w:lineRule="auto"/>
      </w:pPr>
      <w:r>
        <w:rPr>
          <w:rFonts w:ascii="Arial" w:hAnsi="Arial"/>
          <w:b/>
          <w:color w:val="1E293B"/>
          <w:sz w:val="19"/>
        </w:rPr>
        <w:t xml:space="preserve">Answer: </w:t>
      </w:r>
      <w:r>
        <w:rPr>
          <w:rFonts w:ascii="Arial" w:hAnsi="Arial"/>
          <w:color w:val="1E293B"/>
          <w:sz w:val="19"/>
        </w:rPr>
        <w:t>Both the sending manager and receiving manager must approve, coordinated by HR Operations.</w:t>
      </w:r>
    </w:p>
    <w:p>
      <w:pPr>
        <w:spacing w:before="0" w:after="100" w:line="276" w:lineRule="auto"/>
      </w:pPr>
      <w:r>
        <w:rPr>
          <w:rFonts w:ascii="Arial" w:hAnsi="Arial"/>
          <w:b/>
          <w:color w:val="1E293B"/>
          <w:sz w:val="19"/>
        </w:rPr>
        <w:t xml:space="preserve">Question: </w:t>
      </w:r>
      <w:r>
        <w:rPr>
          <w:rFonts w:ascii="Arial" w:hAnsi="Arial"/>
          <w:color w:val="1E293B"/>
          <w:sz w:val="19"/>
        </w:rPr>
        <w:t>Can I buy out my notice period?</w:t>
      </w:r>
    </w:p>
    <w:p>
      <w:pPr>
        <w:spacing w:before="0" w:after="100" w:line="276" w:lineRule="auto"/>
      </w:pPr>
      <w:r>
        <w:rPr>
          <w:rFonts w:ascii="Arial" w:hAnsi="Arial"/>
          <w:b/>
          <w:color w:val="1E293B"/>
          <w:sz w:val="19"/>
        </w:rPr>
        <w:t xml:space="preserve">Answer: </w:t>
      </w:r>
      <w:r>
        <w:rPr>
          <w:rFonts w:ascii="Arial" w:hAnsi="Arial"/>
          <w:color w:val="1E293B"/>
          <w:sz w:val="19"/>
        </w:rPr>
        <w:t>Notice period buyout is permitted subject to Reporting Manager and HR Operations approval. For Department Heads or senior leadership roles, additional approval from the Department Head and HR Director is required. The buyout is subject to business requirements, applicable employment terms, and payroll recovery rules. Approval is not automatic.</w:t>
      </w:r>
    </w:p>
    <w:p>
      <w:pPr>
        <w:spacing w:before="0" w:after="100" w:line="276" w:lineRule="auto"/>
      </w:pPr>
      <w:r>
        <w:rPr>
          <w:rFonts w:ascii="Arial" w:hAnsi="Arial"/>
          <w:b/>
          <w:color w:val="1E293B"/>
          <w:sz w:val="19"/>
        </w:rPr>
        <w:t xml:space="preserve">Question: </w:t>
      </w:r>
      <w:r>
        <w:rPr>
          <w:rFonts w:ascii="Arial" w:hAnsi="Arial"/>
          <w:color w:val="1E293B"/>
          <w:sz w:val="19"/>
        </w:rPr>
        <w:t>When are relieving and experience letters issued?</w:t>
      </w:r>
    </w:p>
    <w:p>
      <w:pPr>
        <w:spacing w:before="0" w:after="100" w:line="276" w:lineRule="auto"/>
      </w:pPr>
      <w:r>
        <w:rPr>
          <w:rFonts w:ascii="Arial" w:hAnsi="Arial"/>
          <w:b/>
          <w:color w:val="1E293B"/>
          <w:sz w:val="19"/>
        </w:rPr>
        <w:t xml:space="preserve">Answer: </w:t>
      </w:r>
      <w:r>
        <w:rPr>
          <w:rFonts w:ascii="Arial" w:hAnsi="Arial"/>
          <w:color w:val="1E293B"/>
          <w:sz w:val="19"/>
        </w:rPr>
        <w:t>Issued within 15 working days post-last working day, provided 100% exit clearance is complete.</w:t>
      </w:r>
    </w:p>
    <w:p>
      <w:pPr>
        <w:spacing w:before="0" w:after="100" w:line="276" w:lineRule="auto"/>
      </w:pPr>
      <w:r>
        <w:rPr>
          <w:rFonts w:ascii="Arial" w:hAnsi="Arial"/>
          <w:b/>
          <w:color w:val="1E293B"/>
          <w:sz w:val="19"/>
        </w:rPr>
        <w:t xml:space="preserve">Question: </w:t>
      </w:r>
      <w:r>
        <w:rPr>
          <w:rFonts w:ascii="Arial" w:hAnsi="Arial"/>
          <w:color w:val="1E293B"/>
          <w:sz w:val="19"/>
        </w:rPr>
        <w:t>How long does background verification take?</w:t>
      </w:r>
    </w:p>
    <w:p>
      <w:pPr>
        <w:spacing w:before="0" w:after="100" w:line="276" w:lineRule="auto"/>
      </w:pPr>
      <w:r>
        <w:rPr>
          <w:rFonts w:ascii="Arial" w:hAnsi="Arial"/>
          <w:b/>
          <w:color w:val="1E293B"/>
          <w:sz w:val="19"/>
        </w:rPr>
        <w:t xml:space="preserve">Answer: </w:t>
      </w:r>
      <w:r>
        <w:rPr>
          <w:rFonts w:ascii="Arial" w:hAnsi="Arial"/>
          <w:color w:val="1E293B"/>
          <w:sz w:val="19"/>
        </w:rPr>
        <w:t>Background verification must generally be completed within 90 days of joining.</w:t>
      </w:r>
    </w:p>
    <w:p>
      <w:pPr>
        <w:spacing w:before="0" w:after="100" w:line="276" w:lineRule="auto"/>
      </w:pPr>
      <w:r>
        <w:rPr>
          <w:rFonts w:ascii="Arial" w:hAnsi="Arial"/>
          <w:b/>
          <w:color w:val="1E293B"/>
          <w:sz w:val="19"/>
        </w:rPr>
        <w:t xml:space="preserve">Question: </w:t>
      </w:r>
      <w:r>
        <w:rPr>
          <w:rFonts w:ascii="Arial" w:hAnsi="Arial"/>
          <w:color w:val="1E293B"/>
          <w:sz w:val="19"/>
        </w:rPr>
        <w:t>What happens if a discrepancy is found during BGV?</w:t>
      </w:r>
    </w:p>
    <w:p>
      <w:pPr>
        <w:spacing w:before="0" w:after="100" w:line="276" w:lineRule="auto"/>
      </w:pPr>
      <w:r>
        <w:rPr>
          <w:rFonts w:ascii="Arial" w:hAnsi="Arial"/>
          <w:b/>
          <w:color w:val="1E293B"/>
          <w:sz w:val="19"/>
        </w:rPr>
        <w:t xml:space="preserve">Answer: </w:t>
      </w:r>
      <w:r>
        <w:rPr>
          <w:rFonts w:ascii="Arial" w:hAnsi="Arial"/>
          <w:color w:val="1E293B"/>
          <w:sz w:val="19"/>
        </w:rPr>
        <w:t>HR reviews the discrepancy with the employee; material misrepresentation, falsification, or deliberate concealment may result in disciplinary action up to termination.</w:t>
      </w:r>
    </w:p>
    <w:p>
      <w:pPr>
        <w:spacing w:before="0" w:after="100" w:line="276" w:lineRule="auto"/>
      </w:pPr>
      <w:r>
        <w:rPr>
          <w:rFonts w:ascii="Arial" w:hAnsi="Arial"/>
          <w:b/>
          <w:color w:val="1E293B"/>
          <w:sz w:val="19"/>
        </w:rPr>
        <w:t xml:space="preserve">Question: </w:t>
      </w:r>
      <w:r>
        <w:rPr>
          <w:rFonts w:ascii="Arial" w:hAnsi="Arial"/>
          <w:color w:val="1E293B"/>
          <w:sz w:val="19"/>
        </w:rPr>
        <w:t>Can interns apply for internal branch transfers?</w:t>
      </w:r>
    </w:p>
    <w:p>
      <w:pPr>
        <w:spacing w:before="0" w:after="100" w:line="276" w:lineRule="auto"/>
      </w:pPr>
      <w:r>
        <w:rPr>
          <w:rFonts w:ascii="Arial" w:hAnsi="Arial"/>
          <w:b/>
          <w:color w:val="1E293B"/>
          <w:sz w:val="19"/>
        </w:rPr>
        <w:t xml:space="preserve">Answer: </w:t>
      </w:r>
      <w:r>
        <w:rPr>
          <w:rFonts w:ascii="Arial" w:hAnsi="Arial"/>
          <w:color w:val="1E293B"/>
          <w:sz w:val="19"/>
        </w:rPr>
        <w:t>No, interns are engaged on fixed-term project contracts and are ineligible for transfers.</w:t>
      </w:r>
    </w:p>
    <w:p>
      <w:pPr>
        <w:spacing w:before="0" w:after="100" w:line="276" w:lineRule="auto"/>
      </w:pPr>
      <w:r>
        <w:rPr>
          <w:rFonts w:ascii="Arial" w:hAnsi="Arial"/>
          <w:b/>
          <w:color w:val="1E293B"/>
          <w:sz w:val="19"/>
        </w:rPr>
        <w:t xml:space="preserve">Question: </w:t>
      </w:r>
      <w:r>
        <w:rPr>
          <w:rFonts w:ascii="Arial" w:hAnsi="Arial"/>
          <w:color w:val="1E293B"/>
          <w:sz w:val="19"/>
        </w:rPr>
        <w:t>Are contractors eligible for company promotions?</w:t>
      </w:r>
    </w:p>
    <w:p>
      <w:pPr>
        <w:spacing w:before="0" w:after="100" w:line="276" w:lineRule="auto"/>
      </w:pPr>
      <w:r>
        <w:rPr>
          <w:rFonts w:ascii="Arial" w:hAnsi="Arial"/>
          <w:b/>
          <w:color w:val="1E293B"/>
          <w:sz w:val="19"/>
        </w:rPr>
        <w:t xml:space="preserve">Answer: </w:t>
      </w:r>
      <w:r>
        <w:rPr>
          <w:rFonts w:ascii="Arial" w:hAnsi="Arial"/>
          <w:color w:val="1E293B"/>
          <w:sz w:val="19"/>
        </w:rPr>
        <w:t>No, promotions apply exclusively to full-time confirmed employees.</w:t>
      </w:r>
    </w:p>
    <w:p>
      <w:pPr>
        <w:spacing w:before="0" w:after="100" w:line="276" w:lineRule="auto"/>
      </w:pPr>
      <w:r>
        <w:rPr>
          <w:rFonts w:ascii="Arial" w:hAnsi="Arial"/>
          <w:b/>
          <w:color w:val="1E293B"/>
          <w:sz w:val="19"/>
        </w:rPr>
        <w:t xml:space="preserve">Question: </w:t>
      </w:r>
      <w:r>
        <w:rPr>
          <w:rFonts w:ascii="Arial" w:hAnsi="Arial"/>
          <w:color w:val="1E293B"/>
          <w:sz w:val="19"/>
        </w:rPr>
        <w:t>What happens if my manager does not respond to my resignation ticket?</w:t>
      </w:r>
    </w:p>
    <w:p>
      <w:pPr>
        <w:spacing w:before="0" w:after="100" w:line="276" w:lineRule="auto"/>
      </w:pPr>
      <w:r>
        <w:rPr>
          <w:rFonts w:ascii="Arial" w:hAnsi="Arial"/>
          <w:b/>
          <w:color w:val="1E293B"/>
          <w:sz w:val="19"/>
        </w:rPr>
        <w:t xml:space="preserve">Answer: </w:t>
      </w:r>
      <w:r>
        <w:rPr>
          <w:rFonts w:ascii="Arial" w:hAnsi="Arial"/>
          <w:color w:val="1E293B"/>
          <w:sz w:val="19"/>
        </w:rPr>
        <w:t>If no action is taken within 5 working days, the ticket escalates automatically to the Department Head.</w:t>
      </w:r>
    </w:p>
    <w:p>
      <w:pPr>
        <w:spacing w:before="0" w:after="100" w:line="276" w:lineRule="auto"/>
      </w:pPr>
      <w:r>
        <w:rPr>
          <w:rFonts w:ascii="Arial" w:hAnsi="Arial"/>
          <w:b/>
          <w:color w:val="1E293B"/>
          <w:sz w:val="19"/>
        </w:rPr>
        <w:t xml:space="preserve">Question: </w:t>
      </w:r>
      <w:r>
        <w:rPr>
          <w:rFonts w:ascii="Arial" w:hAnsi="Arial"/>
          <w:color w:val="1E293B"/>
          <w:sz w:val="19"/>
        </w:rPr>
        <w:t>Can I withdraw my resignation after submitting it?</w:t>
      </w:r>
    </w:p>
    <w:p>
      <w:pPr>
        <w:spacing w:before="0" w:after="100" w:line="276" w:lineRule="auto"/>
      </w:pPr>
      <w:r>
        <w:rPr>
          <w:rFonts w:ascii="Arial" w:hAnsi="Arial"/>
          <w:b/>
          <w:color w:val="1E293B"/>
          <w:sz w:val="19"/>
        </w:rPr>
        <w:t xml:space="preserve">Answer: </w:t>
      </w:r>
      <w:r>
        <w:rPr>
          <w:rFonts w:ascii="Arial" w:hAnsi="Arial"/>
          <w:color w:val="1E293B"/>
          <w:sz w:val="19"/>
        </w:rPr>
        <w:t>Resignation withdrawal is permitted prior to the last working day, subject to Manager and HR approval.</w:t>
      </w:r>
    </w:p>
    <w:p>
      <w:pPr>
        <w:spacing w:before="0" w:after="100" w:line="276" w:lineRule="auto"/>
      </w:pPr>
      <w:r>
        <w:rPr>
          <w:rFonts w:ascii="Arial" w:hAnsi="Arial"/>
          <w:b/>
          <w:color w:val="1E293B"/>
          <w:sz w:val="19"/>
        </w:rPr>
        <w:t xml:space="preserve">Question: </w:t>
      </w:r>
      <w:r>
        <w:rPr>
          <w:rFonts w:ascii="Arial" w:hAnsi="Arial"/>
          <w:color w:val="1E293B"/>
          <w:sz w:val="19"/>
        </w:rPr>
        <w:t>What happens if exit clearance is delayed or incomplete?</w:t>
      </w:r>
    </w:p>
    <w:p>
      <w:pPr>
        <w:spacing w:before="0" w:after="100" w:line="276" w:lineRule="auto"/>
      </w:pPr>
      <w:r>
        <w:rPr>
          <w:rFonts w:ascii="Arial" w:hAnsi="Arial"/>
          <w:b/>
          <w:color w:val="1E293B"/>
          <w:sz w:val="19"/>
        </w:rPr>
        <w:t xml:space="preserve">Answer: </w:t>
      </w:r>
      <w:r>
        <w:rPr>
          <w:rFonts w:ascii="Arial" w:hAnsi="Arial"/>
          <w:color w:val="1E293B"/>
          <w:sz w:val="19"/>
        </w:rPr>
        <w:t>Incomplete clearance delays FnF settlement disbursement and the issuance of relieving letters.</w:t>
      </w:r>
    </w:p>
    <w:p>
      <w:pPr>
        <w:spacing w:before="0" w:after="100" w:line="276" w:lineRule="auto"/>
      </w:pPr>
      <w:r>
        <w:rPr>
          <w:rFonts w:ascii="Arial" w:hAnsi="Arial"/>
          <w:b/>
          <w:color w:val="1E293B"/>
          <w:sz w:val="19"/>
        </w:rPr>
        <w:t xml:space="preserve">Question: </w:t>
      </w:r>
      <w:r>
        <w:rPr>
          <w:rFonts w:ascii="Arial" w:hAnsi="Arial"/>
          <w:color w:val="1E293B"/>
          <w:sz w:val="19"/>
        </w:rPr>
        <w:t>Is the onboarding process different for fully remote roles?</w:t>
      </w:r>
    </w:p>
    <w:p>
      <w:pPr>
        <w:spacing w:before="0" w:after="100" w:line="276" w:lineRule="auto"/>
      </w:pPr>
      <w:r>
        <w:rPr>
          <w:rFonts w:ascii="Arial" w:hAnsi="Arial"/>
          <w:b/>
          <w:color w:val="1E293B"/>
          <w:sz w:val="19"/>
        </w:rPr>
        <w:t xml:space="preserve">Answer: </w:t>
      </w:r>
      <w:r>
        <w:rPr>
          <w:rFonts w:ascii="Arial" w:hAnsi="Arial"/>
          <w:color w:val="1E293B"/>
          <w:sz w:val="19"/>
        </w:rPr>
        <w:t>Yes, remote joiners attend a virtual orientation and receive hardware dispatched to their address.</w:t>
      </w:r>
    </w:p>
    <w:p>
      <w:pPr>
        <w:spacing w:before="0" w:after="100" w:line="276" w:lineRule="auto"/>
      </w:pPr>
      <w:r>
        <w:rPr>
          <w:rFonts w:ascii="Arial" w:hAnsi="Arial"/>
          <w:b/>
          <w:color w:val="1E293B"/>
          <w:sz w:val="19"/>
        </w:rPr>
        <w:t xml:space="preserve">Question: </w:t>
      </w:r>
      <w:r>
        <w:rPr>
          <w:rFonts w:ascii="Arial" w:hAnsi="Arial"/>
          <w:color w:val="1E293B"/>
          <w:sz w:val="19"/>
        </w:rPr>
        <w:t>Are probationary employees eligible for employee benefits?</w:t>
      </w:r>
    </w:p>
    <w:p>
      <w:pPr>
        <w:spacing w:before="0" w:after="100" w:line="276" w:lineRule="auto"/>
      </w:pPr>
      <w:r>
        <w:rPr>
          <w:rFonts w:ascii="Arial" w:hAnsi="Arial"/>
          <w:b/>
          <w:color w:val="1E293B"/>
          <w:sz w:val="19"/>
        </w:rPr>
        <w:t xml:space="preserve">Answer: </w:t>
      </w:r>
      <w:r>
        <w:rPr>
          <w:rFonts w:ascii="Arial" w:hAnsi="Arial"/>
          <w:color w:val="1E293B"/>
          <w:sz w:val="19"/>
        </w:rPr>
        <w:t>Eligibility for employee benefits depends on the applicable Employee Benefits Policy, employment terms, and statutory requirements. Probationary status may affect eligibility for certain benefits. Employees should refer to the latest Employee Benefits Policy or contact HR for benefit-specific eligibility.</w:t>
      </w:r>
    </w:p>
    <w:p>
      <w:pPr>
        <w:spacing w:before="0" w:after="100" w:line="276" w:lineRule="auto"/>
      </w:pPr>
      <w:r>
        <w:rPr>
          <w:rFonts w:ascii="Arial" w:hAnsi="Arial"/>
          <w:b/>
          <w:color w:val="1E293B"/>
          <w:sz w:val="19"/>
        </w:rPr>
        <w:t xml:space="preserve">Question: </w:t>
      </w:r>
      <w:r>
        <w:rPr>
          <w:rFonts w:ascii="Arial" w:hAnsi="Arial"/>
          <w:color w:val="1E293B"/>
          <w:sz w:val="19"/>
        </w:rPr>
        <w:t>Who is the designated Policy Owner for this handbook?</w:t>
      </w:r>
    </w:p>
    <w:p>
      <w:pPr>
        <w:spacing w:before="0" w:after="100" w:line="276" w:lineRule="auto"/>
      </w:pPr>
      <w:r>
        <w:rPr>
          <w:rFonts w:ascii="Arial" w:hAnsi="Arial"/>
          <w:b/>
          <w:color w:val="1E293B"/>
          <w:sz w:val="19"/>
        </w:rPr>
        <w:t xml:space="preserve">Answer: </w:t>
      </w:r>
      <w:r>
        <w:rPr>
          <w:rFonts w:ascii="Arial" w:hAnsi="Arial"/>
          <w:color w:val="1E293B"/>
          <w:sz w:val="19"/>
        </w:rPr>
        <w:t>Head of Human Resources.</w:t>
      </w:r>
    </w:p>
    <w:p>
      <w:pPr>
        <w:keepNext/>
        <w:spacing w:before="320" w:after="120"/>
      </w:pPr>
      <w:r>
        <w:rPr>
          <w:rFonts w:ascii="Arial" w:hAnsi="Arial"/>
          <w:b/>
          <w:color w:val="0F172A"/>
          <w:sz w:val="24"/>
        </w:rPr>
        <w:t>13. Frequently Asked Questions (Exactly 45 FAQs)</w:t>
      </w:r>
    </w:p>
    <w:p>
      <w:pPr>
        <w:spacing w:before="0" w:after="100" w:line="276" w:lineRule="auto"/>
      </w:pPr>
      <w:r>
        <w:rPr>
          <w:rFonts w:ascii="Arial" w:hAnsi="Arial"/>
          <w:color w:val="1E293B"/>
          <w:sz w:val="19"/>
        </w:rPr>
        <w:t>1. What is the standard notice period for confirmed employees at Series Tech Limited? Sixty calendar days.</w:t>
      </w:r>
    </w:p>
    <w:p>
      <w:pPr>
        <w:spacing w:before="0" w:after="100" w:line="276" w:lineRule="auto"/>
      </w:pPr>
      <w:r>
        <w:rPr>
          <w:rFonts w:ascii="Arial" w:hAnsi="Arial"/>
          <w:color w:val="1E293B"/>
          <w:sz w:val="19"/>
        </w:rPr>
        <w:t>2. What is the standard notice period for employees on probation? Thirty calendar days.</w:t>
      </w:r>
    </w:p>
    <w:p>
      <w:pPr>
        <w:spacing w:before="0" w:after="100" w:line="276" w:lineRule="auto"/>
      </w:pPr>
      <w:r>
        <w:rPr>
          <w:rFonts w:ascii="Arial" w:hAnsi="Arial"/>
          <w:color w:val="1E293B"/>
          <w:sz w:val="19"/>
        </w:rPr>
        <w:t>3. How long is the probation period at Series Tech Limited? Six months, extendable by up to three months.</w:t>
      </w:r>
    </w:p>
    <w:p>
      <w:pPr>
        <w:spacing w:before="0" w:after="100" w:line="276" w:lineRule="auto"/>
      </w:pPr>
      <w:r>
        <w:rPr>
          <w:rFonts w:ascii="Arial" w:hAnsi="Arial"/>
          <w:color w:val="1E293B"/>
          <w:sz w:val="19"/>
        </w:rPr>
        <w:t>4. Who approves confirmation at the end of probation? At the end of the 6-month probation period, the Reporting Manager submits a formal performance recommendation to HR Operations. HR Operations reviews the recommendation and supporting records. Final confirmation approval is granted by the Head of Human Resources, after which HR Operations issues the official confirmation letter.</w:t>
      </w:r>
    </w:p>
    <w:p>
      <w:pPr>
        <w:spacing w:before="0" w:after="100" w:line="276" w:lineRule="auto"/>
      </w:pPr>
      <w:r>
        <w:rPr>
          <w:rFonts w:ascii="Arial" w:hAnsi="Arial"/>
          <w:color w:val="1E293B"/>
          <w:sz w:val="19"/>
        </w:rPr>
        <w:t>5. How often does the promotion cycle run? Twice a year during biannual appraisal cycles.</w:t>
      </w:r>
    </w:p>
    <w:p>
      <w:pPr>
        <w:spacing w:before="0" w:after="100" w:line="276" w:lineRule="auto"/>
      </w:pPr>
      <w:r>
        <w:rPr>
          <w:rFonts w:ascii="Arial" w:hAnsi="Arial"/>
          <w:color w:val="1E293B"/>
          <w:sz w:val="19"/>
        </w:rPr>
        <w:t>6. Who approves a promotion? A promotion committee consisting of the department head, senior managers, and HR.</w:t>
      </w:r>
    </w:p>
    <w:p>
      <w:pPr>
        <w:spacing w:before="0" w:after="100" w:line="276" w:lineRule="auto"/>
      </w:pPr>
      <w:r>
        <w:rPr>
          <w:rFonts w:ascii="Arial" w:hAnsi="Arial"/>
          <w:color w:val="1E293B"/>
          <w:sz w:val="19"/>
        </w:rPr>
        <w:t>7. How do I request a transfer? Submit a transfer request through the internal HR portal at least sixty days before the desired date.</w:t>
      </w:r>
    </w:p>
    <w:p>
      <w:pPr>
        <w:spacing w:before="0" w:after="100" w:line="276" w:lineRule="auto"/>
      </w:pPr>
      <w:r>
        <w:rPr>
          <w:rFonts w:ascii="Arial" w:hAnsi="Arial"/>
          <w:color w:val="1E293B"/>
          <w:sz w:val="19"/>
        </w:rPr>
        <w:t>8. Who approves a transfer request? Both the current manager and the receiving manager, coordinated by Human Resources.</w:t>
      </w:r>
    </w:p>
    <w:p>
      <w:pPr>
        <w:spacing w:before="0" w:after="100" w:line="276" w:lineRule="auto"/>
      </w:pPr>
      <w:r>
        <w:rPr>
          <w:rFonts w:ascii="Arial" w:hAnsi="Arial"/>
          <w:color w:val="1E293B"/>
          <w:sz w:val="19"/>
        </w:rPr>
        <w:t>9. How do I resign from Series Tech Limited? Submit a formal resignation through the internal HR portal stating your intended last working day.</w:t>
      </w:r>
    </w:p>
    <w:p>
      <w:pPr>
        <w:spacing w:before="0" w:after="100" w:line="276" w:lineRule="auto"/>
      </w:pPr>
      <w:r>
        <w:rPr>
          <w:rFonts w:ascii="Arial" w:hAnsi="Arial"/>
          <w:color w:val="1E293B"/>
          <w:sz w:val="19"/>
        </w:rPr>
        <w:t>10. Can I buy out my notice period? Notice period buyout is permitted subject to Reporting Manager and HR Operations approval. For Department Heads or senior leadership roles, additional approval from the Department Head and HR Director is required. The buyout is subject to business requirements, applicable employment terms, and payroll recovery rules. Approval is not automatic.</w:t>
      </w:r>
    </w:p>
    <w:p>
      <w:pPr>
        <w:spacing w:before="0" w:after="100" w:line="276" w:lineRule="auto"/>
      </w:pPr>
      <w:r>
        <w:rPr>
          <w:rFonts w:ascii="Arial" w:hAnsi="Arial"/>
          <w:color w:val="1E293B"/>
          <w:sz w:val="19"/>
        </w:rPr>
        <w:t>11. What documents are required for joining Series Tech Limited? Educational certificates, previous relieving letters, identity proof, address proof, and photographs.</w:t>
      </w:r>
    </w:p>
    <w:p>
      <w:pPr>
        <w:spacing w:before="0" w:after="100" w:line="276" w:lineRule="auto"/>
      </w:pPr>
      <w:r>
        <w:rPr>
          <w:rFonts w:ascii="Arial" w:hAnsi="Arial"/>
          <w:color w:val="1E293B"/>
          <w:sz w:val="19"/>
        </w:rPr>
        <w:t>12. When is the employee ID issued? On the date of joining during Day 1 onboarding.</w:t>
      </w:r>
    </w:p>
    <w:p>
      <w:pPr>
        <w:spacing w:before="0" w:after="100" w:line="276" w:lineRule="auto"/>
      </w:pPr>
      <w:r>
        <w:rPr>
          <w:rFonts w:ascii="Arial" w:hAnsi="Arial"/>
          <w:color w:val="1E293B"/>
          <w:sz w:val="19"/>
        </w:rPr>
        <w:t>13. What happens if I lose my access card? Report it immediately to the Administration department for deactivation and reissuance.</w:t>
      </w:r>
    </w:p>
    <w:p>
      <w:pPr>
        <w:spacing w:before="0" w:after="100" w:line="276" w:lineRule="auto"/>
      </w:pPr>
      <w:r>
        <w:rPr>
          <w:rFonts w:ascii="Arial" w:hAnsi="Arial"/>
          <w:color w:val="1E293B"/>
          <w:sz w:val="19"/>
        </w:rPr>
        <w:t>14. When is the experience letter issued? Within fifteen working days of the last working day, provided exit clearance is complete.</w:t>
      </w:r>
    </w:p>
    <w:p>
      <w:pPr>
        <w:spacing w:before="0" w:after="100" w:line="276" w:lineRule="auto"/>
      </w:pPr>
      <w:r>
        <w:rPr>
          <w:rFonts w:ascii="Arial" w:hAnsi="Arial"/>
          <w:color w:val="1E293B"/>
          <w:sz w:val="19"/>
        </w:rPr>
        <w:t>15. When is the relieving letter issued? Along with the experience letter, within fifteen working days of the last working day.</w:t>
      </w:r>
    </w:p>
    <w:p>
      <w:pPr>
        <w:spacing w:before="0" w:after="100" w:line="276" w:lineRule="auto"/>
      </w:pPr>
      <w:r>
        <w:rPr>
          <w:rFonts w:ascii="Arial" w:hAnsi="Arial"/>
          <w:color w:val="1E293B"/>
          <w:sz w:val="19"/>
        </w:rPr>
        <w:t>16. What does background verification cover? Educational credentials, previous employment, identity, address, and legally permissible checks.</w:t>
      </w:r>
    </w:p>
    <w:p>
      <w:pPr>
        <w:spacing w:before="0" w:after="100" w:line="276" w:lineRule="auto"/>
      </w:pPr>
      <w:r>
        <w:rPr>
          <w:rFonts w:ascii="Arial" w:hAnsi="Arial"/>
          <w:color w:val="1E293B"/>
          <w:sz w:val="19"/>
        </w:rPr>
        <w:t>17. How long does background verification take? It must generally be completed within ninety days of joining.</w:t>
      </w:r>
    </w:p>
    <w:p>
      <w:pPr>
        <w:spacing w:before="0" w:after="100" w:line="276" w:lineRule="auto"/>
      </w:pPr>
      <w:r>
        <w:rPr>
          <w:rFonts w:ascii="Arial" w:hAnsi="Arial"/>
          <w:color w:val="1E293B"/>
          <w:sz w:val="19"/>
        </w:rPr>
        <w:t>18. What happens if a discrepancy is found in background verification? HR reviews the discrepancy with the employee; material misrepresentation, falsification, or deliberate concealment may result in disciplinary action up to termination.</w:t>
      </w:r>
    </w:p>
    <w:p>
      <w:pPr>
        <w:spacing w:before="0" w:after="100" w:line="276" w:lineRule="auto"/>
      </w:pPr>
      <w:r>
        <w:rPr>
          <w:rFonts w:ascii="Arial" w:hAnsi="Arial"/>
          <w:color w:val="1E293B"/>
          <w:sz w:val="19"/>
        </w:rPr>
        <w:t>19. Can interns use the transfer process? Interns generally are not eligible for department transfers since their engagement is fixed-term.</w:t>
      </w:r>
    </w:p>
    <w:p>
      <w:pPr>
        <w:spacing w:before="0" w:after="100" w:line="276" w:lineRule="auto"/>
      </w:pPr>
      <w:r>
        <w:rPr>
          <w:rFonts w:ascii="Arial" w:hAnsi="Arial"/>
          <w:color w:val="1E293B"/>
          <w:sz w:val="19"/>
        </w:rPr>
        <w:t>20. Can contractors access the promotion process? No, the promotion process applies only to full-time employees of Series Tech Limited.</w:t>
      </w:r>
    </w:p>
    <w:p>
      <w:pPr>
        <w:spacing w:before="0" w:after="100" w:line="276" w:lineRule="auto"/>
      </w:pPr>
      <w:r>
        <w:rPr>
          <w:rFonts w:ascii="Arial" w:hAnsi="Arial"/>
          <w:color w:val="1E293B"/>
          <w:sz w:val="19"/>
        </w:rPr>
        <w:t>21. What happens during probation if performance is poor? Probation may be extended by 3 months, or employment terminated with 30 days notice.</w:t>
      </w:r>
    </w:p>
    <w:p>
      <w:pPr>
        <w:spacing w:before="0" w:after="100" w:line="276" w:lineRule="auto"/>
      </w:pPr>
      <w:r>
        <w:rPr>
          <w:rFonts w:ascii="Arial" w:hAnsi="Arial"/>
          <w:color w:val="1E293B"/>
          <w:sz w:val="19"/>
        </w:rPr>
        <w:t>22. What if I miss the deadline for submitting a transfer request? The transfer request will be considered for the subsequent mobility cycle.</w:t>
      </w:r>
    </w:p>
    <w:p>
      <w:pPr>
        <w:spacing w:before="0" w:after="100" w:line="276" w:lineRule="auto"/>
      </w:pPr>
      <w:r>
        <w:rPr>
          <w:rFonts w:ascii="Arial" w:hAnsi="Arial"/>
          <w:color w:val="1E293B"/>
          <w:sz w:val="19"/>
        </w:rPr>
        <w:t>23. Who is my point of contact for exit clearance? IT Support, Finance, Administration, and HR each provide clearance via the exit portal.</w:t>
      </w:r>
    </w:p>
    <w:p>
      <w:pPr>
        <w:spacing w:before="0" w:after="100" w:line="276" w:lineRule="auto"/>
      </w:pPr>
      <w:r>
        <w:rPr>
          <w:rFonts w:ascii="Arial" w:hAnsi="Arial"/>
          <w:color w:val="1E293B"/>
          <w:sz w:val="19"/>
        </w:rPr>
        <w:t>24. What is required before my last working day? Completion of knowledge transfer (KT) and return of all company assets.</w:t>
      </w:r>
    </w:p>
    <w:p>
      <w:pPr>
        <w:spacing w:before="0" w:after="100" w:line="276" w:lineRule="auto"/>
      </w:pPr>
      <w:r>
        <w:rPr>
          <w:rFonts w:ascii="Arial" w:hAnsi="Arial"/>
          <w:color w:val="1E293B"/>
          <w:sz w:val="19"/>
        </w:rPr>
        <w:t>25. Can I withdraw my resignation? Yes, with manager and HR approval, provided it is withdrawn before the last working day.</w:t>
      </w:r>
    </w:p>
    <w:p>
      <w:pPr>
        <w:spacing w:before="0" w:after="100" w:line="276" w:lineRule="auto"/>
      </w:pPr>
      <w:r>
        <w:rPr>
          <w:rFonts w:ascii="Arial" w:hAnsi="Arial"/>
          <w:color w:val="1E293B"/>
          <w:sz w:val="19"/>
        </w:rPr>
        <w:t>26. What if my manager does not act on my resignation acknowledgment? It escalates automatically to the department head after five working days.</w:t>
      </w:r>
    </w:p>
    <w:p>
      <w:pPr>
        <w:spacing w:before="0" w:after="100" w:line="276" w:lineRule="auto"/>
      </w:pPr>
      <w:r>
        <w:rPr>
          <w:rFonts w:ascii="Arial" w:hAnsi="Arial"/>
          <w:color w:val="1E293B"/>
          <w:sz w:val="19"/>
        </w:rPr>
        <w:t>27. Is the joining process different for remote-only roles? Yes, a virtual joining session replaces in-office Day 1 onboarding.</w:t>
      </w:r>
    </w:p>
    <w:p>
      <w:pPr>
        <w:spacing w:before="0" w:after="100" w:line="276" w:lineRule="auto"/>
      </w:pPr>
      <w:r>
        <w:rPr>
          <w:rFonts w:ascii="Arial" w:hAnsi="Arial"/>
          <w:color w:val="1E293B"/>
          <w:sz w:val="19"/>
        </w:rPr>
        <w:t>28. Are probationary employees eligible for employee benefits? Eligibility for employee benefits depends on the applicable Employee Benefits Policy, employment terms, and statutory requirements. Probationary status may affect eligibility for certain benefits. Employees should refer to the latest Employee Benefits Policy or contact HR for benefit-specific eligibility.</w:t>
      </w:r>
    </w:p>
    <w:p>
      <w:pPr>
        <w:spacing w:before="0" w:after="100" w:line="276" w:lineRule="auto"/>
      </w:pPr>
      <w:r>
        <w:rPr>
          <w:rFonts w:ascii="Arial" w:hAnsi="Arial"/>
          <w:color w:val="1E293B"/>
          <w:sz w:val="19"/>
        </w:rPr>
        <w:t>29. What happens if exit clearance is incomplete? The full and final settlement and issuance of experience letters will be delayed.</w:t>
      </w:r>
    </w:p>
    <w:p>
      <w:pPr>
        <w:spacing w:before="0" w:after="100" w:line="276" w:lineRule="auto"/>
      </w:pPr>
      <w:r>
        <w:rPr>
          <w:rFonts w:ascii="Arial" w:hAnsi="Arial"/>
          <w:color w:val="1E293B"/>
          <w:sz w:val="19"/>
        </w:rPr>
        <w:t>30. Who decides on promotion nominations? The employee's manager nominates, and the promotion committee reviews and approves.</w:t>
      </w:r>
    </w:p>
    <w:p>
      <w:pPr>
        <w:spacing w:before="0" w:after="100" w:line="276" w:lineRule="auto"/>
      </w:pPr>
      <w:r>
        <w:rPr>
          <w:rFonts w:ascii="Arial" w:hAnsi="Arial"/>
          <w:color w:val="1E293B"/>
          <w:sz w:val="19"/>
        </w:rPr>
        <w:t>31. Can notice period be served while taking Earned Leave? Leave during notice period is discouraged and requires Department Head approval.</w:t>
      </w:r>
    </w:p>
    <w:p>
      <w:pPr>
        <w:spacing w:before="0" w:after="100" w:line="276" w:lineRule="auto"/>
      </w:pPr>
      <w:r>
        <w:rPr>
          <w:rFonts w:ascii="Arial" w:hAnsi="Arial"/>
          <w:color w:val="1E293B"/>
          <w:sz w:val="19"/>
        </w:rPr>
        <w:t>32. What happens to company hardware on my last working day? Laptops and peripherals must be handed over to IT Support for clearance.</w:t>
      </w:r>
    </w:p>
    <w:p>
      <w:pPr>
        <w:spacing w:before="0" w:after="100" w:line="276" w:lineRule="auto"/>
      </w:pPr>
      <w:r>
        <w:rPr>
          <w:rFonts w:ascii="Arial" w:hAnsi="Arial"/>
          <w:color w:val="1E293B"/>
          <w:sz w:val="19"/>
        </w:rPr>
        <w:t>33. Is background verification repeated upon promotion? No, BGV is conducted once during initial employee onboarding.</w:t>
      </w:r>
    </w:p>
    <w:p>
      <w:pPr>
        <w:spacing w:before="0" w:after="100" w:line="276" w:lineRule="auto"/>
      </w:pPr>
      <w:r>
        <w:rPr>
          <w:rFonts w:ascii="Arial" w:hAnsi="Arial"/>
          <w:color w:val="1E293B"/>
          <w:sz w:val="19"/>
        </w:rPr>
        <w:t>34. How are unreturned asset costs handled during exit? Deducted from the employee's Full-and-Final (FnF) settlement payout.</w:t>
      </w:r>
    </w:p>
    <w:p>
      <w:pPr>
        <w:spacing w:before="0" w:after="100" w:line="276" w:lineRule="auto"/>
      </w:pPr>
      <w:r>
        <w:rPr>
          <w:rFonts w:ascii="Arial" w:hAnsi="Arial"/>
          <w:color w:val="1E293B"/>
          <w:sz w:val="19"/>
        </w:rPr>
        <w:t>35. What is the timeline for Full-and-Final (FnF) settlement? Disbursed within 30 to 45 calendar days post-last working day.</w:t>
      </w:r>
    </w:p>
    <w:p>
      <w:pPr>
        <w:spacing w:before="0" w:after="100" w:line="276" w:lineRule="auto"/>
      </w:pPr>
      <w:r>
        <w:rPr>
          <w:rFonts w:ascii="Arial" w:hAnsi="Arial"/>
          <w:color w:val="1E293B"/>
          <w:sz w:val="19"/>
        </w:rPr>
        <w:t>36. Who is eligible for internal branch transfers? Confirmed full-time employees with at least 1 year of continuous service.</w:t>
      </w:r>
    </w:p>
    <w:p>
      <w:pPr>
        <w:spacing w:before="0" w:after="100" w:line="276" w:lineRule="auto"/>
      </w:pPr>
      <w:r>
        <w:rPr>
          <w:rFonts w:ascii="Arial" w:hAnsi="Arial"/>
          <w:color w:val="1E293B"/>
          <w:sz w:val="19"/>
        </w:rPr>
        <w:t>37. Who conducts the exit interview? Human Resources Operations prior to the employee's last working day.</w:t>
      </w:r>
    </w:p>
    <w:p>
      <w:pPr>
        <w:spacing w:before="0" w:after="100" w:line="276" w:lineRule="auto"/>
      </w:pPr>
      <w:r>
        <w:rPr>
          <w:rFonts w:ascii="Arial" w:hAnsi="Arial"/>
          <w:color w:val="1E293B"/>
          <w:sz w:val="19"/>
        </w:rPr>
        <w:t>38. What happens if an employee fails to complete Knowledge Transfer? Exit clearance sign-off is withheld until KT is formally accepted by the manager.</w:t>
      </w:r>
    </w:p>
    <w:p>
      <w:pPr>
        <w:spacing w:before="0" w:after="100" w:line="276" w:lineRule="auto"/>
      </w:pPr>
      <w:r>
        <w:rPr>
          <w:rFonts w:ascii="Arial" w:hAnsi="Arial"/>
          <w:color w:val="1E293B"/>
          <w:sz w:val="19"/>
        </w:rPr>
        <w:t>39. Are digital copies of relieving letters valid? Yes, digitally signed experience and relieving letters published on the HR portal are legally valid.</w:t>
      </w:r>
    </w:p>
    <w:p>
      <w:pPr>
        <w:spacing w:before="0" w:after="100" w:line="276" w:lineRule="auto"/>
      </w:pPr>
      <w:r>
        <w:rPr>
          <w:rFonts w:ascii="Arial" w:hAnsi="Arial"/>
          <w:color w:val="1E293B"/>
          <w:sz w:val="19"/>
        </w:rPr>
        <w:t>40. Can notice period buyout be claimed as an expense reimbursement? No, notice buyout is a payroll recovery item and non-reimbursable.</w:t>
      </w:r>
    </w:p>
    <w:p>
      <w:pPr>
        <w:spacing w:before="0" w:after="100" w:line="276" w:lineRule="auto"/>
      </w:pPr>
      <w:r>
        <w:rPr>
          <w:rFonts w:ascii="Arial" w:hAnsi="Arial"/>
          <w:color w:val="1E293B"/>
          <w:sz w:val="19"/>
        </w:rPr>
        <w:t>41. How is seniority determined for promotions? Based on performance ratings, skill assessments, tenure, and business role availability.</w:t>
      </w:r>
    </w:p>
    <w:p>
      <w:pPr>
        <w:spacing w:before="0" w:after="100" w:line="276" w:lineRule="auto"/>
      </w:pPr>
      <w:r>
        <w:rPr>
          <w:rFonts w:ascii="Arial" w:hAnsi="Arial"/>
          <w:color w:val="1E293B"/>
          <w:sz w:val="19"/>
        </w:rPr>
        <w:t>42. What happens if an employee absconds during notice period? Employment is terminated under the Unauthorized Absence workflow without relieving letters.</w:t>
      </w:r>
    </w:p>
    <w:p>
      <w:pPr>
        <w:spacing w:before="0" w:after="100" w:line="276" w:lineRule="auto"/>
      </w:pPr>
      <w:r>
        <w:rPr>
          <w:rFonts w:ascii="Arial" w:hAnsi="Arial"/>
          <w:color w:val="1E293B"/>
          <w:sz w:val="19"/>
        </w:rPr>
        <w:t>43. Who maintains employee HR personnel files? Human Resources Operations under strict Role-Based Access Control (RBAC).</w:t>
      </w:r>
    </w:p>
    <w:p>
      <w:pPr>
        <w:spacing w:before="0" w:after="100" w:line="276" w:lineRule="auto"/>
      </w:pPr>
      <w:r>
        <w:rPr>
          <w:rFonts w:ascii="Arial" w:hAnsi="Arial"/>
          <w:color w:val="1E293B"/>
          <w:sz w:val="19"/>
        </w:rPr>
        <w:t>44. How far in advance must I notify HR of my intention to resign? Notice must match your applicable period (60 days confirmed / 30 days probation).</w:t>
      </w:r>
    </w:p>
    <w:p>
      <w:pPr>
        <w:spacing w:before="0" w:after="100" w:line="276" w:lineRule="auto"/>
      </w:pPr>
      <w:r>
        <w:rPr>
          <w:rFonts w:ascii="Arial" w:hAnsi="Arial"/>
          <w:color w:val="1E293B"/>
          <w:sz w:val="19"/>
        </w:rPr>
        <w:t>45. Who is the designated Policy Owner for this document? Head of Human Resources.</w:t>
      </w:r>
    </w:p>
    <w:p>
      <w:pPr>
        <w:keepNext/>
        <w:spacing w:before="320" w:after="120"/>
      </w:pPr>
      <w:r>
        <w:rPr>
          <w:rFonts w:ascii="Arial" w:hAnsi="Arial"/>
          <w:b/>
          <w:color w:val="0F172A"/>
          <w:sz w:val="24"/>
        </w:rPr>
        <w:t>14. Policy Precedence &amp; Exceptions</w:t>
      </w:r>
    </w:p>
    <w:p>
      <w:pPr>
        <w:spacing w:before="0" w:after="100" w:line="276" w:lineRule="auto"/>
      </w:pPr>
      <w:r>
        <w:rPr>
          <w:rFonts w:ascii="Arial" w:hAnsi="Arial"/>
          <w:color w:val="1E293B"/>
          <w:sz w:val="19"/>
        </w:rPr>
        <w:t>If a conflict exists between this Handbook and another company policy, the policy specifically governing the subject matter shall apply, subject to applicable law. Applicable statutory or legal requirements take precedence over internal company policy. Where multiple policies apply to the same employee lifecycle event, HR Operations will determine the applicable policy and approval authority. Policy exceptions require written approval from the Head of Human Resources or designated approving authority. The latest approved version of a policy supersedes previous versions. Where this Handbook references another policy, employees should consult the latest approved version of the referenced policy for detailed requirements.</w:t>
      </w:r>
    </w:p>
    <w:p>
      <w:pPr>
        <w:keepNext/>
        <w:spacing w:before="320" w:after="120"/>
      </w:pPr>
      <w:r>
        <w:rPr>
          <w:rFonts w:ascii="Arial" w:hAnsi="Arial"/>
          <w:b/>
          <w:color w:val="0F172A"/>
          <w:sz w:val="24"/>
        </w:rPr>
        <w:t>15. Document Control &amp; Revision History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rFonts w:ascii="Arial" w:hAnsi="Arial"/>
                <w:b/>
                <w:color w:val="FFFFFF"/>
                <w:sz w:val="17"/>
              </w:rPr>
              <w:t>Version</w:t>
            </w:r>
          </w:p>
        </w:tc>
        <w:tc>
          <w:tcPr>
            <w:tcW w:type="dxa" w:w="2340"/>
            <w:shd w:fill="0F172A"/>
          </w:tcPr>
          <w:p>
            <w:r>
              <w:rPr>
                <w:rFonts w:ascii="Arial" w:hAnsi="Arial"/>
                <w:b/>
                <w:color w:val="FFFFFF"/>
                <w:sz w:val="17"/>
              </w:rPr>
              <w:t>Effective Date</w:t>
            </w:r>
          </w:p>
        </w:tc>
        <w:tc>
          <w:tcPr>
            <w:tcW w:type="dxa" w:w="2340"/>
            <w:shd w:fill="0F172A"/>
          </w:tcPr>
          <w:p>
            <w:r>
              <w:rPr>
                <w:rFonts w:ascii="Arial" w:hAnsi="Arial"/>
                <w:b/>
                <w:color w:val="FFFFFF"/>
                <w:sz w:val="17"/>
              </w:rPr>
              <w:t>Summary of Changes</w:t>
            </w:r>
          </w:p>
        </w:tc>
        <w:tc>
          <w:tcPr>
            <w:tcW w:type="dxa" w:w="2340"/>
            <w:shd w:fill="0F172A"/>
          </w:tcPr>
          <w:p>
            <w:r>
              <w:rPr>
                <w:rFonts w:ascii="Arial" w:hAnsi="Arial"/>
                <w:b/>
                <w:color w:val="FFFFFF"/>
                <w:sz w:val="17"/>
              </w:rPr>
              <w:t>Approved By</w:t>
            </w:r>
          </w:p>
        </w:tc>
      </w:tr>
      <w:tr>
        <w:tc>
          <w:tcPr>
            <w:tcW w:type="dxa" w:w="2340"/>
            <w:shd w:fill="F8FAFC"/>
          </w:tcPr>
          <w:p>
            <w:r>
              <w:rPr>
                <w:rFonts w:ascii="Arial" w:hAnsi="Arial"/>
                <w:color w:val="1E293B"/>
                <w:sz w:val="16"/>
              </w:rPr>
              <w:t>1.0</w:t>
            </w:r>
          </w:p>
        </w:tc>
        <w:tc>
          <w:tcPr>
            <w:tcW w:type="dxa" w:w="2340"/>
            <w:shd w:fill="F8FAFC"/>
          </w:tcPr>
          <w:p>
            <w:r>
              <w:rPr>
                <w:rFonts w:ascii="Arial" w:hAnsi="Arial"/>
                <w:color w:val="1E293B"/>
                <w:sz w:val="16"/>
              </w:rPr>
              <w:t>January 2025</w:t>
            </w:r>
          </w:p>
        </w:tc>
        <w:tc>
          <w:tcPr>
            <w:tcW w:type="dxa" w:w="2340"/>
            <w:shd w:fill="F8FAFC"/>
          </w:tcPr>
          <w:p>
            <w:r>
              <w:rPr>
                <w:rFonts w:ascii="Arial" w:hAnsi="Arial"/>
                <w:color w:val="1E293B"/>
                <w:sz w:val="16"/>
              </w:rPr>
              <w:t>Initial Publication of Corporate Employee Handbook</w:t>
            </w:r>
          </w:p>
        </w:tc>
        <w:tc>
          <w:tcPr>
            <w:tcW w:type="dxa" w:w="2340"/>
            <w:shd w:fill="F8FAFC"/>
          </w:tcPr>
          <w:p>
            <w:r>
              <w:rPr>
                <w:rFonts w:ascii="Arial" w:hAnsi="Arial"/>
                <w:color w:val="1E293B"/>
                <w:sz w:val="16"/>
              </w:rPr>
              <w:t>Head of Human Resources</w:t>
            </w:r>
          </w:p>
        </w:tc>
      </w:tr>
      <w:tr>
        <w:tc>
          <w:tcPr>
            <w:tcW w:type="dxa" w:w="2340"/>
            <w:shd w:fill="FFFFFF"/>
          </w:tcPr>
          <w:p>
            <w:r>
              <w:rPr>
                <w:rFonts w:ascii="Arial" w:hAnsi="Arial"/>
                <w:color w:val="1E293B"/>
                <w:sz w:val="16"/>
              </w:rPr>
              <w:t>2.0</w:t>
            </w:r>
          </w:p>
        </w:tc>
        <w:tc>
          <w:tcPr>
            <w:tcW w:type="dxa" w:w="2340"/>
            <w:shd w:fill="FFFFFF"/>
          </w:tcPr>
          <w:p>
            <w:r>
              <w:rPr>
                <w:rFonts w:ascii="Arial" w:hAnsi="Arial"/>
                <w:color w:val="1E293B"/>
                <w:sz w:val="16"/>
              </w:rPr>
              <w:t>July 2026</w:t>
            </w:r>
          </w:p>
        </w:tc>
        <w:tc>
          <w:tcPr>
            <w:tcW w:type="dxa" w:w="2340"/>
            <w:shd w:fill="FFFFFF"/>
          </w:tcPr>
          <w:p>
            <w:r>
              <w:rPr>
                <w:rFonts w:ascii="Arial" w:hAnsi="Arial"/>
                <w:color w:val="1E293B"/>
                <w:sz w:val="16"/>
              </w:rPr>
              <w:t>Enterprise Update: Added Onboarding Document Matrix, Notice Period Governance Table, Exit Clearance Workflow, Authority Matrix, Cutoff Schedule, Scenarios, 20 Decision Q&amp;A, and 45 FAQs.</w:t>
            </w:r>
          </w:p>
        </w:tc>
        <w:tc>
          <w:tcPr>
            <w:tcW w:type="dxa" w:w="2340"/>
            <w:shd w:fill="FFFFFF"/>
          </w:tcPr>
          <w:p>
            <w:r>
              <w:rPr>
                <w:rFonts w:ascii="Arial" w:hAnsi="Arial"/>
                <w:color w:val="1E293B"/>
                <w:sz w:val="16"/>
              </w:rPr>
              <w:t>HR &amp; Executive Board</w:t>
            </w:r>
          </w:p>
        </w:tc>
      </w:tr>
      <w:tr>
        <w:tc>
          <w:tcPr>
            <w:tcW w:type="dxa" w:w="2340"/>
            <w:shd w:fill="F8FAFC"/>
          </w:tcPr>
          <w:p>
            <w:r>
              <w:rPr>
                <w:rFonts w:ascii="Arial" w:hAnsi="Arial"/>
                <w:color w:val="1E293B"/>
                <w:sz w:val="16"/>
              </w:rPr>
              <w:t>2.2</w:t>
            </w:r>
          </w:p>
        </w:tc>
        <w:tc>
          <w:tcPr>
            <w:tcW w:type="dxa" w:w="2340"/>
            <w:shd w:fill="F8FAFC"/>
          </w:tcPr>
          <w:p>
            <w:r>
              <w:rPr>
                <w:rFonts w:ascii="Arial" w:hAnsi="Arial"/>
                <w:color w:val="1E293B"/>
                <w:sz w:val="16"/>
              </w:rPr>
              <w:t>July 2026</w:t>
            </w:r>
          </w:p>
        </w:tc>
        <w:tc>
          <w:tcPr>
            <w:tcW w:type="dxa" w:w="2340"/>
            <w:shd w:fill="F8FAFC"/>
          </w:tcPr>
          <w:p>
            <w:r>
              <w:rPr>
                <w:rFonts w:ascii="Arial" w:hAnsi="Arial"/>
                <w:color w:val="1E293B"/>
                <w:sz w:val="16"/>
              </w:rPr>
              <w:t>Production-Ready Standard: Standardized probation confirmation authority (Head of HR), unified notice buyout rules, added 1-year transfer eligibility rule, Lifecycle Workflow diagram, Resignation Workflow, LWD calculation rules, metadata block, controlled BGV wording, safe FAQ 28 benefits rule, and Policy Precedence.</w:t>
            </w:r>
          </w:p>
        </w:tc>
        <w:tc>
          <w:tcPr>
            <w:tcW w:type="dxa" w:w="2340"/>
            <w:shd w:fill="F8FAFC"/>
          </w:tcPr>
          <w:p>
            <w:r>
              <w:rPr>
                <w:rFonts w:ascii="Arial" w:hAnsi="Arial"/>
                <w:color w:val="1E293B"/>
                <w:sz w:val="16"/>
              </w:rPr>
              <w:t>HR &amp; Executive Board</w:t>
            </w:r>
          </w:p>
        </w:tc>
      </w:tr>
      <w:tr>
        <w:tc>
          <w:tcPr>
            <w:tcW w:type="dxa" w:w="2340"/>
            <w:shd w:fill="FFFFFF"/>
          </w:tcPr>
          <w:p>
            <w:r>
              <w:rPr>
                <w:rFonts w:ascii="Arial" w:hAnsi="Arial"/>
                <w:color w:val="1E293B"/>
                <w:sz w:val="16"/>
              </w:rPr>
              <w:t>2.3</w:t>
            </w:r>
          </w:p>
        </w:tc>
        <w:tc>
          <w:tcPr>
            <w:tcW w:type="dxa" w:w="2340"/>
            <w:shd w:fill="FFFFFF"/>
          </w:tcPr>
          <w:p>
            <w:r>
              <w:rPr>
                <w:rFonts w:ascii="Arial" w:hAnsi="Arial"/>
                <w:color w:val="1E293B"/>
                <w:sz w:val="16"/>
              </w:rPr>
              <w:t>July 2026</w:t>
            </w:r>
          </w:p>
        </w:tc>
        <w:tc>
          <w:tcPr>
            <w:tcW w:type="dxa" w:w="2340"/>
            <w:shd w:fill="FFFFFF"/>
          </w:tcPr>
          <w:p>
            <w:r>
              <w:rPr>
                <w:rFonts w:ascii="Arial" w:hAnsi="Arial"/>
                <w:color w:val="1E293B"/>
                <w:sz w:val="16"/>
              </w:rPr>
              <w:t>Production-Ready Final: Integrated exact metadata header block, precise probation confirmation wording, transfer eligibility section 6.1, notice buyout rules, 11-step resignation workflow, notice calculation rules with Day 1 effective date inclusion, safe BGV wording, updated authority &amp; notice matrices, and synchronized all FAQs.</w:t>
            </w:r>
          </w:p>
        </w:tc>
        <w:tc>
          <w:tcPr>
            <w:tcW w:type="dxa" w:w="2340"/>
            <w:shd w:fill="FFFFFF"/>
          </w:tcPr>
          <w:p>
            <w:r>
              <w:rPr>
                <w:rFonts w:ascii="Arial" w:hAnsi="Arial"/>
                <w:color w:val="1E293B"/>
                <w:sz w:val="16"/>
              </w:rPr>
              <w:t>HR &amp; Executive Board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