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HR Division Knowledge Base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4" w:name="hr-division-knowledge-base"/>
    <w:p>
      <w:pPr>
        <w:pStyle w:val="Heading1"/>
      </w:pPr>
      <w:r>
        <w:t xml:space="preserve">HR Division Knowledge Base</w:t>
      </w:r>
    </w:p>
    <w:p>
      <w:pPr>
        <w:pStyle w:val="FirstParagraph"/>
      </w:pPr>
      <w:r>
        <w:rPr>
          <w:bCs/>
          <w:b/>
        </w:rPr>
        <w:t xml:space="preserve">Series Tech Ltd. — Internal Use Only</w:t>
      </w:r>
    </w:p>
    <w:p>
      <w:pPr>
        <w:pStyle w:val="BodyText"/>
      </w:pPr>
      <w:r>
        <w:rPr>
          <w:iCs/>
          <w:i/>
        </w:rPr>
        <w:t xml:space="preserve">[Company Logo Placeholder — SeriesTech_Logo.png]</w:t>
      </w:r>
    </w:p>
    <w:p>
      <w:pPr>
        <w:pStyle w:val="BodyText"/>
      </w:pPr>
      <w:r>
        <w:rPr>
          <w:bCs/>
          <w:b/>
        </w:rPr>
        <w:t xml:space="preserve">Classification:</w:t>
      </w:r>
      <w:r>
        <w:t xml:space="preserve"> </w:t>
      </w:r>
      <w:r>
        <w:t xml:space="preserve">Internal — Confidential</w:t>
      </w:r>
      <w:r>
        <w:t xml:space="preserve"> </w:t>
      </w:r>
      <w:r>
        <w:rPr>
          <w:bCs/>
          <w:b/>
        </w:rPr>
        <w:t xml:space="preserve">Document Number:</w:t>
      </w:r>
      <w:r>
        <w:t xml:space="preserve"> </w:t>
      </w:r>
      <w:r>
        <w:t xml:space="preserve">STL-HR-KB-001</w:t>
      </w:r>
      <w:r>
        <w:t xml:space="preserve"> </w:t>
      </w:r>
      <w:r>
        <w:rPr>
          <w:bCs/>
          <w:b/>
        </w:rPr>
        <w:t xml:space="preserve">Version:</w:t>
      </w:r>
      <w:r>
        <w:t xml:space="preserve"> </w:t>
      </w:r>
      <w:r>
        <w:t xml:space="preserve">3.2</w:t>
      </w:r>
      <w:r>
        <w:t xml:space="preserve"> </w:t>
      </w:r>
      <w:r>
        <w:rPr>
          <w:bCs/>
          <w:b/>
        </w:rPr>
        <w:t xml:space="preserve">Last Updated:</w:t>
      </w:r>
      <w:r>
        <w:t xml:space="preserve"> </w:t>
      </w:r>
      <w:r>
        <w:t xml:space="preserve">2026-05-18</w:t>
      </w:r>
      <w:r>
        <w:t xml:space="preserve"> </w:t>
      </w:r>
      <w:r>
        <w:rPr>
          <w:bCs/>
          <w:b/>
        </w:rPr>
        <w:t xml:space="preserve">Owner:</w:t>
      </w:r>
      <w:r>
        <w:t xml:space="preserve"> </w:t>
      </w:r>
      <w:r>
        <w:t xml:space="preserve">Director of Human Resources, Series Tech Ltd.</w:t>
      </w:r>
      <w:r>
        <w:t xml:space="preserve"> </w:t>
      </w:r>
      <w:r>
        <w:rPr>
          <w:bCs/>
          <w:b/>
        </w:rPr>
        <w:t xml:space="preserve">Approver:</w:t>
      </w:r>
      <w:r>
        <w:t xml:space="preserve"> </w:t>
      </w:r>
      <w:r>
        <w:t xml:space="preserve">VP, People &amp; Culture</w:t>
      </w:r>
    </w:p>
    <w:bookmarkStart w:id="20" w:name="revision-history"/>
    <w:p>
      <w:pPr>
        <w:pStyle w:val="Heading2"/>
      </w:pPr>
      <w:r>
        <w:t xml:space="preserve">Revision History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Summary of Changes</w:t>
            </w:r>
          </w:p>
        </w:tc>
      </w:tr>
      <w:tr>
        <w:tc>
          <w:tcPr/>
          <w:p>
            <w:pPr>
              <w:pStyle w:val="Compact"/>
              <w:jc w:val="left"/>
            </w:pPr>
            <w:r>
              <w:t xml:space="preserve">1.0</w:t>
            </w:r>
          </w:p>
        </w:tc>
        <w:tc>
          <w:tcPr/>
          <w:p>
            <w:pPr>
              <w:pStyle w:val="Compact"/>
              <w:jc w:val="left"/>
            </w:pPr>
            <w:r>
              <w:t xml:space="preserve">2022-01-10</w:t>
            </w:r>
          </w:p>
        </w:tc>
        <w:tc>
          <w:tcPr/>
          <w:p>
            <w:pPr>
              <w:pStyle w:val="Compact"/>
              <w:jc w:val="left"/>
            </w:pPr>
            <w:r>
              <w:t xml:space="preserve">R. Kapoor (HR)</w:t>
            </w:r>
          </w:p>
        </w:tc>
        <w:tc>
          <w:tcPr/>
          <w:p>
            <w:pPr>
              <w:pStyle w:val="Compact"/>
              <w:jc w:val="left"/>
            </w:pPr>
            <w:r>
              <w:t xml:space="preserve">Initial release of Employee Handbook</w:t>
            </w:r>
          </w:p>
        </w:tc>
      </w:tr>
      <w:tr>
        <w:tc>
          <w:tcPr/>
          <w:p>
            <w:pPr>
              <w:pStyle w:val="Compact"/>
              <w:jc w:val="left"/>
            </w:pPr>
            <w:r>
              <w:t xml:space="preserve">2.0</w:t>
            </w:r>
          </w:p>
        </w:tc>
        <w:tc>
          <w:tcPr/>
          <w:p>
            <w:pPr>
              <w:pStyle w:val="Compact"/>
              <w:jc w:val="left"/>
            </w:pPr>
            <w:r>
              <w:t xml:space="preserve">2023-06-15</w:t>
            </w:r>
          </w:p>
        </w:tc>
        <w:tc>
          <w:tcPr/>
          <w:p>
            <w:pPr>
              <w:pStyle w:val="Compact"/>
              <w:jc w:val="left"/>
            </w:pPr>
            <w:r>
              <w:t xml:space="preserve">S. Menon (HR)</w:t>
            </w:r>
          </w:p>
        </w:tc>
        <w:tc>
          <w:tcPr/>
          <w:p>
            <w:pPr>
              <w:pStyle w:val="Compact"/>
              <w:jc w:val="left"/>
            </w:pPr>
            <w:r>
              <w:t xml:space="preserve">Added Work From Home Policy and revised Leave Matrix</w:t>
            </w:r>
          </w:p>
        </w:tc>
      </w:tr>
      <w:tr>
        <w:tc>
          <w:tcPr/>
          <w:p>
            <w:pPr>
              <w:pStyle w:val="Compact"/>
              <w:jc w:val="left"/>
            </w:pPr>
            <w:r>
              <w:t xml:space="preserve">2.5</w:t>
            </w:r>
          </w:p>
        </w:tc>
        <w:tc>
          <w:tcPr/>
          <w:p>
            <w:pPr>
              <w:pStyle w:val="Compact"/>
              <w:jc w:val="left"/>
            </w:pPr>
            <w:r>
              <w:t xml:space="preserve">2024-09-02</w:t>
            </w:r>
          </w:p>
        </w:tc>
        <w:tc>
          <w:tcPr/>
          <w:p>
            <w:pPr>
              <w:pStyle w:val="Compact"/>
              <w:jc w:val="left"/>
            </w:pPr>
            <w:r>
              <w:t xml:space="preserve">R. Kapoor (HR)</w:t>
            </w:r>
          </w:p>
        </w:tc>
        <w:tc>
          <w:tcPr/>
          <w:p>
            <w:pPr>
              <w:pStyle w:val="Compact"/>
              <w:jc w:val="left"/>
            </w:pPr>
            <w:r>
              <w:t xml:space="preserve">Updated Code of Conduct after annual compliance review</w:t>
            </w:r>
          </w:p>
        </w:tc>
      </w:tr>
      <w:tr>
        <w:tc>
          <w:tcPr/>
          <w:p>
            <w:pPr>
              <w:pStyle w:val="Compact"/>
              <w:jc w:val="left"/>
            </w:pPr>
            <w:r>
              <w:t xml:space="preserve">3.0</w:t>
            </w:r>
          </w:p>
        </w:tc>
        <w:tc>
          <w:tcPr/>
          <w:p>
            <w:pPr>
              <w:pStyle w:val="Compact"/>
              <w:jc w:val="left"/>
            </w:pPr>
            <w:r>
              <w:t xml:space="preserve">2025-04-20</w:t>
            </w:r>
          </w:p>
        </w:tc>
        <w:tc>
          <w:tcPr/>
          <w:p>
            <w:pPr>
              <w:pStyle w:val="Compact"/>
              <w:jc w:val="left"/>
            </w:pPr>
            <w:r>
              <w:t xml:space="preserve">A. Fernandes (HR)</w:t>
            </w:r>
          </w:p>
        </w:tc>
        <w:tc>
          <w:tcPr/>
          <w:p>
            <w:pPr>
              <w:pStyle w:val="Compact"/>
              <w:jc w:val="left"/>
            </w:pPr>
            <w:r>
              <w:t xml:space="preserve">Consolidated Attendance Policy into single knowledge base</w:t>
            </w:r>
          </w:p>
        </w:tc>
      </w:tr>
      <w:tr>
        <w:tc>
          <w:tcPr/>
          <w:p>
            <w:pPr>
              <w:pStyle w:val="Compact"/>
              <w:jc w:val="left"/>
            </w:pPr>
            <w:r>
              <w:t xml:space="preserve">3.2</w:t>
            </w:r>
          </w:p>
        </w:tc>
        <w:tc>
          <w:tcPr/>
          <w:p>
            <w:pPr>
              <w:pStyle w:val="Compact"/>
              <w:jc w:val="left"/>
            </w:pPr>
            <w:r>
              <w:t xml:space="preserve">2026-05-18</w:t>
            </w:r>
          </w:p>
        </w:tc>
        <w:tc>
          <w:tcPr/>
          <w:p>
            <w:pPr>
              <w:pStyle w:val="Compact"/>
              <w:jc w:val="left"/>
            </w:pPr>
            <w:r>
              <w:t xml:space="preserve">A. Fernandes (HR)</w:t>
            </w:r>
          </w:p>
        </w:tc>
        <w:tc>
          <w:tcPr/>
          <w:p>
            <w:pPr>
              <w:pStyle w:val="Compact"/>
              <w:jc w:val="left"/>
            </w:pPr>
            <w:r>
              <w:t xml:space="preserve">Refreshed Leave Matrix, added hybrid attendance rules</w:t>
            </w:r>
          </w:p>
        </w:tc>
      </w:tr>
    </w:tbl>
    <w:p>
      <w:r>
        <w:pict>
          <v:rect style="width:0;height:1.5pt" o:hralign="center" o:hrstd="t" o:hr="t"/>
        </w:pict>
      </w:r>
    </w:p>
    <w:bookmarkEnd w:id="20"/>
    <w:bookmarkStart w:id="23" w:name="introduction"/>
    <w:p>
      <w:pPr>
        <w:pStyle w:val="Heading2"/>
      </w:pPr>
      <w:r>
        <w:t xml:space="preserve">1. Introduction</w:t>
      </w:r>
    </w:p>
    <w:p>
      <w:pPr>
        <w:pStyle w:val="FirstParagraph"/>
      </w:pPr>
      <w:r>
        <w:t xml:space="preserve">This HR Division Knowledge Base is the single reference point for all people-related policies at Series Tech Ltd. (</w:t>
      </w:r>
      <w:r>
        <w:t xml:space="preserve">“</w:t>
      </w:r>
      <w:r>
        <w:t xml:space="preserve">SeriesTech</w:t>
      </w:r>
      <w:r>
        <w:t xml:space="preserve">”</w:t>
      </w:r>
      <w:r>
        <w:t xml:space="preserve">,</w:t>
      </w:r>
      <w:r>
        <w:t xml:space="preserve"> </w:t>
      </w:r>
      <w:r>
        <w:t xml:space="preserve">“</w:t>
      </w:r>
      <w:r>
        <w:t xml:space="preserve">the Company</w:t>
      </w:r>
      <w:r>
        <w:t xml:space="preserve">”</w:t>
      </w:r>
      <w:r>
        <w:t xml:space="preserve">). It consolidates the Employee Handbook, Leave Policy, Attendance Policy, Work From Home (WFH) Policy, and Code of Conduct into one authoritative source for employees, managers, and the HR Shared Services team.</w:t>
      </w:r>
    </w:p>
    <w:p>
      <w:pPr>
        <w:pStyle w:val="BodyText"/>
      </w:pPr>
      <w:r>
        <w:rPr>
          <w:bCs/>
          <w:b/>
        </w:rPr>
        <w:t xml:space="preserve">Note:</w:t>
      </w:r>
      <w:r>
        <w:t xml:space="preserve"> </w:t>
      </w:r>
      <w:r>
        <w:t xml:space="preserve">Where a policy in this document conflicts with a signed employment contract or a country-specific addendum, the employment contract or local addendum takes precedence. HR Shared Services (hr-support@seriestech.com) should be consulted for clarification.</w:t>
      </w:r>
    </w:p>
    <w:bookmarkStart w:id="21" w:name="purpose-and-scope"/>
    <w:p>
      <w:pPr>
        <w:pStyle w:val="Heading3"/>
      </w:pPr>
      <w:r>
        <w:t xml:space="preserve">1.1 Purpose and Scope</w:t>
      </w:r>
    </w:p>
    <w:p>
      <w:pPr>
        <w:pStyle w:val="FirstParagraph"/>
      </w:pPr>
      <w:r>
        <w:t xml:space="preserve">This document applies to all full-time, part-time, and contract employees of Series Tech Ltd. across its Hyderabad, Pune, and Austin offices, as well as remote employees under the Distributed Workforce Program. Interns are covered under Sections 2, 3, and 5, but leave entitlements described in Section 3 do not apply to interns unless stated in their internship agreement.</w:t>
      </w:r>
    </w:p>
    <w:bookmarkEnd w:id="21"/>
    <w:bookmarkStart w:id="22" w:name="definitions"/>
    <w:p>
      <w:pPr>
        <w:pStyle w:val="Heading3"/>
      </w:pPr>
      <w:r>
        <w:t xml:space="preserve">1.2 Definitions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rPr>
                <w:bCs/>
                <w:b/>
              </w:rPr>
              <w:t xml:space="preserve">HRMS</w:t>
            </w:r>
          </w:p>
        </w:tc>
        <w:tc>
          <w:tcPr/>
          <w:p>
            <w:pPr>
              <w:pStyle w:val="Compact"/>
              <w:jc w:val="left"/>
            </w:pPr>
            <w:r>
              <w:t xml:space="preserve">Human Resource Management System — SeriesTech’s internal platform (HR Connect) used for leave requests, attendance, payroll, and performance records</w:t>
            </w:r>
          </w:p>
        </w:tc>
      </w:tr>
      <w:tr>
        <w:tc>
          <w:tcPr/>
          <w:p>
            <w:pPr>
              <w:pStyle w:val="Compact"/>
              <w:jc w:val="left"/>
            </w:pPr>
            <w:r>
              <w:rPr>
                <w:bCs/>
                <w:b/>
              </w:rPr>
              <w:t xml:space="preserve">Reporting Manager (RM)</w:t>
            </w:r>
          </w:p>
        </w:tc>
        <w:tc>
          <w:tcPr/>
          <w:p>
            <w:pPr>
              <w:pStyle w:val="Compact"/>
              <w:jc w:val="left"/>
            </w:pPr>
            <w:r>
              <w:t xml:space="preserve">The employee’s direct supervisor as recorded in HR Connect</w:t>
            </w:r>
          </w:p>
        </w:tc>
      </w:tr>
      <w:tr>
        <w:tc>
          <w:tcPr/>
          <w:p>
            <w:pPr>
              <w:pStyle w:val="Compact"/>
              <w:jc w:val="left"/>
            </w:pPr>
            <w:r>
              <w:rPr>
                <w:bCs/>
                <w:b/>
              </w:rPr>
              <w:t xml:space="preserve">Probation Period</w:t>
            </w:r>
          </w:p>
        </w:tc>
        <w:tc>
          <w:tcPr/>
          <w:p>
            <w:pPr>
              <w:pStyle w:val="Compact"/>
              <w:jc w:val="left"/>
            </w:pPr>
            <w:r>
              <w:t xml:space="preserve">The initial 90-calendar-day period of employment during which reduced leave entitlement applies</w:t>
            </w:r>
          </w:p>
        </w:tc>
      </w:tr>
      <w:tr>
        <w:tc>
          <w:tcPr/>
          <w:p>
            <w:pPr>
              <w:pStyle w:val="Compact"/>
              <w:jc w:val="left"/>
            </w:pPr>
            <w:r>
              <w:rPr>
                <w:bCs/>
                <w:b/>
              </w:rPr>
              <w:t xml:space="preserve">WFH</w:t>
            </w:r>
          </w:p>
        </w:tc>
        <w:tc>
          <w:tcPr/>
          <w:p>
            <w:pPr>
              <w:pStyle w:val="Compact"/>
              <w:jc w:val="left"/>
            </w:pPr>
            <w:r>
              <w:t xml:space="preserve">Work From Home</w:t>
            </w:r>
          </w:p>
        </w:tc>
      </w:tr>
      <w:tr>
        <w:tc>
          <w:tcPr/>
          <w:p>
            <w:pPr>
              <w:pStyle w:val="Compact"/>
              <w:jc w:val="left"/>
            </w:pPr>
            <w:r>
              <w:rPr>
                <w:bCs/>
                <w:b/>
              </w:rPr>
              <w:t xml:space="preserve">PTO</w:t>
            </w:r>
          </w:p>
        </w:tc>
        <w:tc>
          <w:tcPr/>
          <w:p>
            <w:pPr>
              <w:pStyle w:val="Compact"/>
              <w:jc w:val="left"/>
            </w:pPr>
            <w:r>
              <w:t xml:space="preserve">Paid Time Off, an umbrella term covering Earned Leave and Casual Leave</w:t>
            </w:r>
          </w:p>
        </w:tc>
      </w:tr>
      <w:tr>
        <w:tc>
          <w:tcPr/>
          <w:p>
            <w:pPr>
              <w:pStyle w:val="Compact"/>
              <w:jc w:val="left"/>
            </w:pPr>
            <w:r>
              <w:rPr>
                <w:bCs/>
                <w:b/>
              </w:rPr>
              <w:t xml:space="preserve">LOP</w:t>
            </w:r>
          </w:p>
        </w:tc>
        <w:tc>
          <w:tcPr/>
          <w:p>
            <w:pPr>
              <w:pStyle w:val="Compact"/>
              <w:jc w:val="left"/>
            </w:pPr>
            <w:r>
              <w:t xml:space="preserve">Loss of Pay, applied when an employee has no leave balance remaining</w:t>
            </w:r>
          </w:p>
        </w:tc>
      </w:tr>
    </w:tbl>
    <w:p>
      <w:r>
        <w:pict>
          <v:rect style="width:0;height:1.5pt" o:hralign="center" o:hrstd="t" o:hr="t"/>
        </w:pict>
      </w:r>
    </w:p>
    <w:bookmarkEnd w:id="22"/>
    <w:bookmarkEnd w:id="23"/>
    <w:bookmarkStart w:id="29" w:name="employee-handbook"/>
    <w:p>
      <w:pPr>
        <w:pStyle w:val="Heading2"/>
      </w:pPr>
      <w:r>
        <w:t xml:space="preserve">2. Employee Handbook</w:t>
      </w:r>
    </w:p>
    <w:bookmarkStart w:id="24" w:name="employment-classification"/>
    <w:p>
      <w:pPr>
        <w:pStyle w:val="Heading3"/>
      </w:pPr>
      <w:r>
        <w:t xml:space="preserve">2.1 Employment Classification</w:t>
      </w:r>
    </w:p>
    <w:p>
      <w:pPr>
        <w:pStyle w:val="FirstParagraph"/>
      </w:pPr>
      <w:r>
        <w:t xml:space="preserve">Series Tech Ltd. classifies employees into the following categories, each of which determines benefits eligibility and leave entitlement:</w:t>
      </w:r>
    </w:p>
    <w:p>
      <w:pPr>
        <w:numPr>
          <w:ilvl w:val="0"/>
          <w:numId w:val="1001"/>
        </w:numPr>
        <w:pStyle w:val="Compact"/>
      </w:pPr>
      <w:r>
        <w:rPr>
          <w:bCs/>
          <w:b/>
        </w:rPr>
        <w:t xml:space="preserve">Regular Full-Time (RFT):</w:t>
      </w:r>
      <w:r>
        <w:t xml:space="preserve"> </w:t>
      </w:r>
      <w:r>
        <w:t xml:space="preserve">Employees working a standard 40-hour week under an indefinite contract.</w:t>
      </w:r>
    </w:p>
    <w:p>
      <w:pPr>
        <w:numPr>
          <w:ilvl w:val="0"/>
          <w:numId w:val="1001"/>
        </w:numPr>
        <w:pStyle w:val="Compact"/>
      </w:pPr>
      <w:r>
        <w:rPr>
          <w:bCs/>
          <w:b/>
        </w:rPr>
        <w:t xml:space="preserve">Fixed-Term Contract (FTC):</w:t>
      </w:r>
      <w:r>
        <w:t xml:space="preserve"> </w:t>
      </w:r>
      <w:r>
        <w:t xml:space="preserve">Employees engaged for a defined project duration, typically tied to Projects such as Project Alpha.</w:t>
      </w:r>
    </w:p>
    <w:p>
      <w:pPr>
        <w:numPr>
          <w:ilvl w:val="0"/>
          <w:numId w:val="1001"/>
        </w:numPr>
        <w:pStyle w:val="Compact"/>
      </w:pPr>
      <w:r>
        <w:rPr>
          <w:bCs/>
          <w:b/>
        </w:rPr>
        <w:t xml:space="preserve">Part-Time (PT):</w:t>
      </w:r>
      <w:r>
        <w:t xml:space="preserve"> </w:t>
      </w:r>
      <w:r>
        <w:t xml:space="preserve">Employees working fewer than 30 hours per week.</w:t>
      </w:r>
    </w:p>
    <w:p>
      <w:pPr>
        <w:numPr>
          <w:ilvl w:val="0"/>
          <w:numId w:val="1001"/>
        </w:numPr>
        <w:pStyle w:val="Compact"/>
      </w:pPr>
      <w:r>
        <w:rPr>
          <w:bCs/>
          <w:b/>
        </w:rPr>
        <w:t xml:space="preserve">Intern:</w:t>
      </w:r>
      <w:r>
        <w:t xml:space="preserve"> </w:t>
      </w:r>
      <w:r>
        <w:t xml:space="preserve">Employees engaged under the Graduate Trainee or Summer Internship programs.</w:t>
      </w:r>
    </w:p>
    <w:bookmarkEnd w:id="24"/>
    <w:bookmarkStart w:id="25" w:name="probation-and-confirmation"/>
    <w:p>
      <w:pPr>
        <w:pStyle w:val="Heading3"/>
      </w:pPr>
      <w:r>
        <w:t xml:space="preserve">2.2 Probation and Confirmation</w:t>
      </w:r>
    </w:p>
    <w:p>
      <w:pPr>
        <w:pStyle w:val="FirstParagraph"/>
      </w:pPr>
      <w:r>
        <w:t xml:space="preserve">New RFT employees serve a 90-day probation period from their date of joining (DOJ). The Reporting Manager must submit a Confirmation Recommendation in HR Connect no later than 10 working days before the probation end date. If no recommendation is submitted, the probation is automatically extended by 30 days, and HR Shared Services will notify both the employee and the Reporting Manager.</w:t>
      </w:r>
    </w:p>
    <w:p>
      <w:pPr>
        <w:pStyle w:val="BodyText"/>
      </w:pPr>
      <w:r>
        <w:rPr>
          <w:bCs/>
          <w:b/>
        </w:rPr>
        <w:t xml:space="preserve">Best Practice:</w:t>
      </w:r>
      <w:r>
        <w:t xml:space="preserve"> </w:t>
      </w:r>
      <w:r>
        <w:t xml:space="preserve">Reporting Managers should schedule a 60-day check-in with new hires to identify any performance or integration concerns well before the confirmation deadline.</w:t>
      </w:r>
    </w:p>
    <w:bookmarkEnd w:id="25"/>
    <w:bookmarkStart w:id="26" w:name="compensation-and-benefits"/>
    <w:p>
      <w:pPr>
        <w:pStyle w:val="Heading3"/>
      </w:pPr>
      <w:r>
        <w:t xml:space="preserve">2.3 Compensation and Benefits</w:t>
      </w:r>
    </w:p>
    <w:p>
      <w:pPr>
        <w:pStyle w:val="FirstParagraph"/>
      </w:pPr>
      <w:r>
        <w:t xml:space="preserve">Compensation is reviewed annually during the March Performance and Compensation Cycle. Salary revisions, bonuses, and promotions are communicated by April 15 each year and reflected in the April payroll cycle.</w:t>
      </w:r>
    </w:p>
    <w:p>
      <w:pPr>
        <w:pStyle w:val="BodyText"/>
      </w:pPr>
      <w:r>
        <w:rPr>
          <w:bCs/>
          <w:b/>
        </w:rPr>
        <w:t xml:space="preserve">Benefits Table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Benefit</w:t>
            </w:r>
          </w:p>
        </w:tc>
        <w:tc>
          <w:tcPr/>
          <w:p>
            <w:pPr>
              <w:pStyle w:val="Compact"/>
              <w:jc w:val="left"/>
            </w:pPr>
            <w:r>
              <w:t xml:space="preserve">RFT</w:t>
            </w:r>
          </w:p>
        </w:tc>
        <w:tc>
          <w:tcPr/>
          <w:p>
            <w:pPr>
              <w:pStyle w:val="Compact"/>
              <w:jc w:val="left"/>
            </w:pPr>
            <w:r>
              <w:t xml:space="preserve">FTC</w:t>
            </w:r>
          </w:p>
        </w:tc>
        <w:tc>
          <w:tcPr/>
          <w:p>
            <w:pPr>
              <w:pStyle w:val="Compact"/>
              <w:jc w:val="left"/>
            </w:pPr>
            <w:r>
              <w:t xml:space="preserve">Part-Time</w:t>
            </w:r>
          </w:p>
        </w:tc>
        <w:tc>
          <w:tcPr/>
          <w:p>
            <w:pPr>
              <w:pStyle w:val="Compact"/>
              <w:jc w:val="left"/>
            </w:pPr>
            <w:r>
              <w:t xml:space="preserve">Intern</w:t>
            </w:r>
          </w:p>
        </w:tc>
      </w:tr>
      <w:tr>
        <w:tc>
          <w:tcPr/>
          <w:p>
            <w:pPr>
              <w:pStyle w:val="Compact"/>
              <w:jc w:val="left"/>
            </w:pPr>
            <w:r>
              <w:t xml:space="preserve">Group Health Insurance</w:t>
            </w:r>
          </w:p>
        </w:tc>
        <w:tc>
          <w:tcPr/>
          <w:p>
            <w:pPr>
              <w:pStyle w:val="Compact"/>
              <w:jc w:val="left"/>
            </w:pPr>
            <w:r>
              <w:t xml:space="preserve">Yes (self + family)</w:t>
            </w:r>
          </w:p>
        </w:tc>
        <w:tc>
          <w:tcPr/>
          <w:p>
            <w:pPr>
              <w:pStyle w:val="Compact"/>
              <w:jc w:val="left"/>
            </w:pPr>
            <w:r>
              <w:t xml:space="preserve">Yes (self only)</w:t>
            </w:r>
          </w:p>
        </w:tc>
        <w:tc>
          <w:tcPr/>
          <w:p>
            <w:pPr>
              <w:pStyle w:val="Compact"/>
              <w:jc w:val="left"/>
            </w:pPr>
            <w:r>
              <w:t xml:space="preserve">Yes (self only)</w:t>
            </w:r>
          </w:p>
        </w:tc>
        <w:tc>
          <w:tcPr/>
          <w:p>
            <w:pPr>
              <w:pStyle w:val="Compact"/>
              <w:jc w:val="left"/>
            </w:pPr>
            <w:r>
              <w:t xml:space="preserve">No</w:t>
            </w:r>
          </w:p>
        </w:tc>
      </w:tr>
      <w:tr>
        <w:tc>
          <w:tcPr/>
          <w:p>
            <w:pPr>
              <w:pStyle w:val="Compact"/>
              <w:jc w:val="left"/>
            </w:pPr>
            <w:r>
              <w:t xml:space="preserve">Group Term Life Insurance</w:t>
            </w:r>
          </w:p>
        </w:tc>
        <w:tc>
          <w:tcPr/>
          <w:p>
            <w:pPr>
              <w:pStyle w:val="Compact"/>
              <w:jc w:val="left"/>
            </w:pPr>
            <w:r>
              <w:t xml:space="preserve">Yes (3x annual CTC)</w:t>
            </w:r>
          </w:p>
        </w:tc>
        <w:tc>
          <w:tcPr/>
          <w:p>
            <w:pPr>
              <w:pStyle w:val="Compact"/>
              <w:jc w:val="left"/>
            </w:pPr>
            <w:r>
              <w:t xml:space="preserve">Yes (2x annual CTC)</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Provident Fund (PF)</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(if applicable)</w:t>
            </w:r>
          </w:p>
        </w:tc>
        <w:tc>
          <w:tcPr/>
          <w:p>
            <w:pPr>
              <w:pStyle w:val="Compact"/>
              <w:jc w:val="left"/>
            </w:pPr>
            <w:r>
              <w:t xml:space="preserve">No</w:t>
            </w:r>
          </w:p>
        </w:tc>
      </w:tr>
      <w:tr>
        <w:tc>
          <w:tcPr/>
          <w:p>
            <w:pPr>
              <w:pStyle w:val="Compact"/>
              <w:jc w:val="left"/>
            </w:pPr>
            <w:r>
              <w:t xml:space="preserve">Meal Vouchers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Annual Learning Stipend</w:t>
            </w:r>
          </w:p>
        </w:tc>
        <w:tc>
          <w:tcPr/>
          <w:p>
            <w:pPr>
              <w:pStyle w:val="Compact"/>
              <w:jc w:val="left"/>
            </w:pPr>
            <w:r>
              <w:t xml:space="preserve">INR 25,000</w:t>
            </w:r>
          </w:p>
        </w:tc>
        <w:tc>
          <w:tcPr/>
          <w:p>
            <w:pPr>
              <w:pStyle w:val="Compact"/>
              <w:jc w:val="left"/>
            </w:pPr>
            <w:r>
              <w:t xml:space="preserve">INR 15,000</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Employee Stock Options (ESOP)</w:t>
            </w:r>
          </w:p>
        </w:tc>
        <w:tc>
          <w:tcPr/>
          <w:p>
            <w:pPr>
              <w:pStyle w:val="Compact"/>
              <w:jc w:val="left"/>
            </w:pPr>
            <w:r>
              <w:t xml:space="preserve">Eligible after 1 year</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bl>
    <w:bookmarkEnd w:id="26"/>
    <w:bookmarkStart w:id="27" w:name="grievance-redressal"/>
    <w:p>
      <w:pPr>
        <w:pStyle w:val="Heading3"/>
      </w:pPr>
      <w:r>
        <w:t xml:space="preserve">2.4 Grievance Redressal</w:t>
      </w:r>
    </w:p>
    <w:p>
      <w:pPr>
        <w:pStyle w:val="FirstParagraph"/>
      </w:pPr>
      <w:r>
        <w:t xml:space="preserve">Employees may raise workplace grievances through HR Connect &gt; Grievance Module, or by emailing grievance-redressal@seriestech.com. All grievances are acknowledged within 2 working days and resolved within 15 working days, except in cases requiring an internal investigation, which may extend to 30 working days with written notice to the employee.</w:t>
      </w:r>
    </w:p>
    <w:p>
      <w:pPr>
        <w:pStyle w:val="BodyText"/>
      </w:pPr>
      <w:r>
        <w:rPr>
          <w:bCs/>
          <w:b/>
        </w:rPr>
        <w:t xml:space="preserve">Grievance Workflow</w:t>
      </w:r>
    </w:p>
    <w:p>
      <w:pPr>
        <w:pStyle w:val="SourceCode"/>
      </w:pPr>
      <w:r>
        <w:rPr>
          <w:rStyle w:val="VerbatimChar"/>
        </w:rPr>
        <w:t xml:space="preserve">Employee raises grievance in HR Connect</w:t>
      </w:r>
      <w:r>
        <w:br/>
      </w:r>
      <w:r>
        <w:rPr>
          <w:rStyle w:val="VerbatimChar"/>
        </w:rPr>
        <w:t xml:space="preserve">        ↓</w:t>
      </w:r>
      <w:r>
        <w:br/>
      </w:r>
      <w:r>
        <w:rPr>
          <w:rStyle w:val="VerbatimChar"/>
        </w:rPr>
        <w:t xml:space="preserve">HR Business Partner (HRBP) reviews and acknowledges (2 working days)</w:t>
      </w:r>
      <w:r>
        <w:br/>
      </w:r>
      <w:r>
        <w:rPr>
          <w:rStyle w:val="VerbatimChar"/>
        </w:rPr>
        <w:t xml:space="preserve">        ↓</w:t>
      </w:r>
      <w:r>
        <w:br/>
      </w:r>
      <w:r>
        <w:rPr>
          <w:rStyle w:val="VerbatimChar"/>
        </w:rPr>
        <w:t xml:space="preserve">Investigation, if required (up to 30 working days)</w:t>
      </w:r>
      <w:r>
        <w:br/>
      </w:r>
      <w:r>
        <w:rPr>
          <w:rStyle w:val="VerbatimChar"/>
        </w:rPr>
        <w:t xml:space="preserve">        ↓</w:t>
      </w:r>
      <w:r>
        <w:br/>
      </w:r>
      <w:r>
        <w:rPr>
          <w:rStyle w:val="VerbatimChar"/>
        </w:rPr>
        <w:t xml:space="preserve">Resolution communicated to employee</w:t>
      </w:r>
      <w:r>
        <w:br/>
      </w:r>
      <w:r>
        <w:rPr>
          <w:rStyle w:val="VerbatimChar"/>
        </w:rPr>
        <w:t xml:space="preserve">        ↓</w:t>
      </w:r>
      <w:r>
        <w:br/>
      </w:r>
      <w:r>
        <w:rPr>
          <w:rStyle w:val="VerbatimChar"/>
        </w:rPr>
        <w:t xml:space="preserve">Case closed and archived in HR Connect</w:t>
      </w:r>
    </w:p>
    <w:bookmarkEnd w:id="27"/>
    <w:bookmarkStart w:id="28" w:name="separation-and-exit"/>
    <w:p>
      <w:pPr>
        <w:pStyle w:val="Heading3"/>
      </w:pPr>
      <w:r>
        <w:t xml:space="preserve">2.5 Separation and Exit</w:t>
      </w:r>
    </w:p>
    <w:p>
      <w:pPr>
        <w:pStyle w:val="FirstParagraph"/>
      </w:pPr>
      <w:r>
        <w:t xml:space="preserve">Employees resigning from RFT positions must serve a notice period of 60 calendar days, unless a shorter period is approved in writing by the Reporting Manager and HRBP. FTC employees follow the notice period stated in their contract, typically 30 days. Exit interviews are mandatory and are scheduled by HR Shared Services within the final 10 days of the notice period.</w:t>
      </w:r>
    </w:p>
    <w:p>
      <w:pPr>
        <w:pStyle w:val="BodyText"/>
      </w:pPr>
      <w:r>
        <w:rPr>
          <w:bCs/>
          <w:b/>
        </w:rPr>
        <w:t xml:space="preserve">Internal Contact:</w:t>
      </w:r>
      <w:r>
        <w:t xml:space="preserve"> </w:t>
      </w:r>
      <w:r>
        <w:t xml:space="preserve">Exit formalities — exits@seriestech.com</w:t>
      </w:r>
    </w:p>
    <w:p>
      <w:r>
        <w:pict>
          <v:rect style="width:0;height:1.5pt" o:hralign="center" o:hrstd="t" o:hr="t"/>
        </w:pict>
      </w:r>
    </w:p>
    <w:bookmarkEnd w:id="28"/>
    <w:bookmarkEnd w:id="29"/>
    <w:bookmarkStart w:id="34" w:name="leave-policy"/>
    <w:p>
      <w:pPr>
        <w:pStyle w:val="Heading2"/>
      </w:pPr>
      <w:r>
        <w:t xml:space="preserve">3. Leave Policy</w:t>
      </w:r>
    </w:p>
    <w:bookmarkStart w:id="30" w:name="leave-categories"/>
    <w:p>
      <w:pPr>
        <w:pStyle w:val="Heading3"/>
      </w:pPr>
      <w:r>
        <w:t xml:space="preserve">3.1 Leave Categories</w:t>
      </w:r>
    </w:p>
    <w:p>
      <w:pPr>
        <w:pStyle w:val="FirstParagraph"/>
      </w:pPr>
      <w:r>
        <w:t xml:space="preserve">SeriesTech provides the following leave categories to RFT employees, pro-rated for employees joining mid-year:</w:t>
      </w:r>
    </w:p>
    <w:p>
      <w:pPr>
        <w:numPr>
          <w:ilvl w:val="0"/>
          <w:numId w:val="1002"/>
        </w:numPr>
        <w:pStyle w:val="Compact"/>
      </w:pPr>
      <w:r>
        <w:rPr>
          <w:bCs/>
          <w:b/>
        </w:rPr>
        <w:t xml:space="preserve">Earned Leave (EL):</w:t>
      </w:r>
      <w:r>
        <w:t xml:space="preserve"> </w:t>
      </w:r>
      <w:r>
        <w:t xml:space="preserve">Accrues monthly, used for planned personal time.</w:t>
      </w:r>
    </w:p>
    <w:p>
      <w:pPr>
        <w:numPr>
          <w:ilvl w:val="0"/>
          <w:numId w:val="1002"/>
        </w:numPr>
        <w:pStyle w:val="Compact"/>
      </w:pPr>
      <w:r>
        <w:rPr>
          <w:bCs/>
          <w:b/>
        </w:rPr>
        <w:t xml:space="preserve">Casual Leave (CL):</w:t>
      </w:r>
      <w:r>
        <w:t xml:space="preserve"> </w:t>
      </w:r>
      <w:r>
        <w:t xml:space="preserve">For short-notice personal matters, maximum 3 consecutive days without RM approval escalation.</w:t>
      </w:r>
    </w:p>
    <w:p>
      <w:pPr>
        <w:numPr>
          <w:ilvl w:val="0"/>
          <w:numId w:val="1002"/>
        </w:numPr>
        <w:pStyle w:val="Compact"/>
      </w:pPr>
      <w:r>
        <w:rPr>
          <w:bCs/>
          <w:b/>
        </w:rPr>
        <w:t xml:space="preserve">Sick Leave (SL):</w:t>
      </w:r>
      <w:r>
        <w:t xml:space="preserve"> </w:t>
      </w:r>
      <w:r>
        <w:t xml:space="preserve">For illness or medical appointments; 3+ consecutive days require a medical certificate uploaded to HR Connect.</w:t>
      </w:r>
    </w:p>
    <w:p>
      <w:pPr>
        <w:numPr>
          <w:ilvl w:val="0"/>
          <w:numId w:val="1002"/>
        </w:numPr>
        <w:pStyle w:val="Compact"/>
      </w:pPr>
      <w:r>
        <w:rPr>
          <w:bCs/>
          <w:b/>
        </w:rPr>
        <w:t xml:space="preserve">Maternity Leave:</w:t>
      </w:r>
      <w:r>
        <w:t xml:space="preserve"> </w:t>
      </w:r>
      <w:r>
        <w:t xml:space="preserve">26 weeks paid, in line with statutory requirements.</w:t>
      </w:r>
    </w:p>
    <w:p>
      <w:pPr>
        <w:numPr>
          <w:ilvl w:val="0"/>
          <w:numId w:val="1002"/>
        </w:numPr>
        <w:pStyle w:val="Compact"/>
      </w:pPr>
      <w:r>
        <w:rPr>
          <w:bCs/>
          <w:b/>
        </w:rPr>
        <w:t xml:space="preserve">Paternity Leave:</w:t>
      </w:r>
      <w:r>
        <w:t xml:space="preserve"> </w:t>
      </w:r>
      <w:r>
        <w:t xml:space="preserve">15 calendar days paid, to be availed within 6 months of childbirth or adoption.</w:t>
      </w:r>
    </w:p>
    <w:p>
      <w:pPr>
        <w:numPr>
          <w:ilvl w:val="0"/>
          <w:numId w:val="1002"/>
        </w:numPr>
        <w:pStyle w:val="Compact"/>
      </w:pPr>
      <w:r>
        <w:rPr>
          <w:bCs/>
          <w:b/>
        </w:rPr>
        <w:t xml:space="preserve">Bereavement Leave:</w:t>
      </w:r>
      <w:r>
        <w:t xml:space="preserve"> </w:t>
      </w:r>
      <w:r>
        <w:t xml:space="preserve">5 calendar days paid for immediate family, 2 days for extended family.</w:t>
      </w:r>
    </w:p>
    <w:p>
      <w:pPr>
        <w:numPr>
          <w:ilvl w:val="0"/>
          <w:numId w:val="1002"/>
        </w:numPr>
        <w:pStyle w:val="Compact"/>
      </w:pPr>
      <w:r>
        <w:rPr>
          <w:bCs/>
          <w:b/>
        </w:rPr>
        <w:t xml:space="preserve">Compensatory Off (Comp-Off):</w:t>
      </w:r>
      <w:r>
        <w:t xml:space="preserve"> </w:t>
      </w:r>
      <w:r>
        <w:t xml:space="preserve">Granted for approved weekend or holiday work, to be availed within 60 days of accrual.</w:t>
      </w:r>
    </w:p>
    <w:bookmarkEnd w:id="30"/>
    <w:bookmarkStart w:id="31" w:name="leave-matrix"/>
    <w:p>
      <w:pPr>
        <w:pStyle w:val="Heading3"/>
      </w:pPr>
      <w:r>
        <w:t xml:space="preserve">3.2 Leave Matrix</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Leave Type</w:t>
            </w:r>
          </w:p>
        </w:tc>
        <w:tc>
          <w:tcPr/>
          <w:p>
            <w:pPr>
              <w:pStyle w:val="Compact"/>
              <w:jc w:val="left"/>
            </w:pPr>
            <w:r>
              <w:t xml:space="preserve">Annual Entitlement</w:t>
            </w:r>
          </w:p>
        </w:tc>
        <w:tc>
          <w:tcPr/>
          <w:p>
            <w:pPr>
              <w:pStyle w:val="Compact"/>
              <w:jc w:val="left"/>
            </w:pPr>
            <w:r>
              <w:t xml:space="preserve">Carry Forward</w:t>
            </w:r>
          </w:p>
        </w:tc>
        <w:tc>
          <w:tcPr/>
          <w:p>
            <w:pPr>
              <w:pStyle w:val="Compact"/>
              <w:jc w:val="left"/>
            </w:pPr>
            <w:r>
              <w:t xml:space="preserve">Encashment</w:t>
            </w:r>
          </w:p>
        </w:tc>
        <w:tc>
          <w:tcPr/>
          <w:p>
            <w:pPr>
              <w:pStyle w:val="Compact"/>
              <w:jc w:val="left"/>
            </w:pPr>
            <w:r>
              <w:t xml:space="preserve">Approval Required</w:t>
            </w:r>
          </w:p>
        </w:tc>
      </w:tr>
      <w:tr>
        <w:tc>
          <w:tcPr/>
          <w:p>
            <w:pPr>
              <w:pStyle w:val="Compact"/>
              <w:jc w:val="left"/>
            </w:pPr>
            <w:r>
              <w:t xml:space="preserve">Earned Leave</w:t>
            </w:r>
          </w:p>
        </w:tc>
        <w:tc>
          <w:tcPr/>
          <w:p>
            <w:pPr>
              <w:pStyle w:val="Compact"/>
              <w:jc w:val="left"/>
            </w:pPr>
            <w:r>
              <w:t xml:space="preserve">18 days</w:t>
            </w:r>
          </w:p>
        </w:tc>
        <w:tc>
          <w:tcPr/>
          <w:p>
            <w:pPr>
              <w:pStyle w:val="Compact"/>
              <w:jc w:val="left"/>
            </w:pPr>
            <w:r>
              <w:t xml:space="preserve">Up to 15 days</w:t>
            </w:r>
          </w:p>
        </w:tc>
        <w:tc>
          <w:tcPr/>
          <w:p>
            <w:pPr>
              <w:pStyle w:val="Compact"/>
              <w:jc w:val="left"/>
            </w:pPr>
            <w:r>
              <w:t xml:space="preserve">Yes, at year-end</w:t>
            </w:r>
          </w:p>
        </w:tc>
        <w:tc>
          <w:tcPr/>
          <w:p>
            <w:pPr>
              <w:pStyle w:val="Compact"/>
              <w:jc w:val="left"/>
            </w:pPr>
            <w:r>
              <w:t xml:space="preserve">RM</w:t>
            </w:r>
          </w:p>
        </w:tc>
      </w:tr>
      <w:tr>
        <w:tc>
          <w:tcPr/>
          <w:p>
            <w:pPr>
              <w:pStyle w:val="Compact"/>
              <w:jc w:val="left"/>
            </w:pPr>
            <w:r>
              <w:t xml:space="preserve">Casual Leave</w:t>
            </w:r>
          </w:p>
        </w:tc>
        <w:tc>
          <w:tcPr/>
          <w:p>
            <w:pPr>
              <w:pStyle w:val="Compact"/>
              <w:jc w:val="left"/>
            </w:pPr>
            <w:r>
              <w:t xml:space="preserve">12 days</w:t>
            </w:r>
          </w:p>
        </w:tc>
        <w:tc>
          <w:tcPr/>
          <w:p>
            <w:pPr>
              <w:pStyle w:val="Compact"/>
              <w:jc w:val="left"/>
            </w:pPr>
            <w:r>
              <w:t xml:space="preserve">No</w:t>
            </w:r>
          </w:p>
        </w:tc>
        <w:tc>
          <w:tcPr/>
          <w:p>
            <w:pPr>
              <w:pStyle w:val="Compact"/>
              <w:jc w:val="left"/>
            </w:pPr>
            <w:r>
              <w:t xml:space="preserve">No</w:t>
            </w:r>
          </w:p>
        </w:tc>
        <w:tc>
          <w:tcPr/>
          <w:p>
            <w:pPr>
              <w:pStyle w:val="Compact"/>
              <w:jc w:val="left"/>
            </w:pPr>
            <w:r>
              <w:t xml:space="preserve">RM</w:t>
            </w:r>
          </w:p>
        </w:tc>
      </w:tr>
      <w:tr>
        <w:tc>
          <w:tcPr/>
          <w:p>
            <w:pPr>
              <w:pStyle w:val="Compact"/>
              <w:jc w:val="left"/>
            </w:pPr>
            <w:r>
              <w:t xml:space="preserve">Sick Leave</w:t>
            </w:r>
          </w:p>
        </w:tc>
        <w:tc>
          <w:tcPr/>
          <w:p>
            <w:pPr>
              <w:pStyle w:val="Compact"/>
              <w:jc w:val="left"/>
            </w:pPr>
            <w:r>
              <w:t xml:space="preserve">10 days</w:t>
            </w:r>
          </w:p>
        </w:tc>
        <w:tc>
          <w:tcPr/>
          <w:p>
            <w:pPr>
              <w:pStyle w:val="Compact"/>
              <w:jc w:val="left"/>
            </w:pPr>
            <w:r>
              <w:t xml:space="preserve">Up to 5 days</w:t>
            </w:r>
          </w:p>
        </w:tc>
        <w:tc>
          <w:tcPr/>
          <w:p>
            <w:pPr>
              <w:pStyle w:val="Compact"/>
              <w:jc w:val="left"/>
            </w:pPr>
            <w:r>
              <w:t xml:space="preserve">No</w:t>
            </w:r>
          </w:p>
        </w:tc>
        <w:tc>
          <w:tcPr/>
          <w:p>
            <w:pPr>
              <w:pStyle w:val="Compact"/>
              <w:jc w:val="left"/>
            </w:pPr>
            <w:r>
              <w:t xml:space="preserve">RM (auto-approved if certificate uploaded)</w:t>
            </w:r>
          </w:p>
        </w:tc>
      </w:tr>
      <w:tr>
        <w:tc>
          <w:tcPr/>
          <w:p>
            <w:pPr>
              <w:pStyle w:val="Compact"/>
              <w:jc w:val="left"/>
            </w:pPr>
            <w:r>
              <w:t xml:space="preserve">Maternity Leave</w:t>
            </w:r>
          </w:p>
        </w:tc>
        <w:tc>
          <w:tcPr/>
          <w:p>
            <w:pPr>
              <w:pStyle w:val="Compact"/>
              <w:jc w:val="left"/>
            </w:pPr>
            <w:r>
              <w:t xml:space="preserve">26 weeks</w:t>
            </w:r>
          </w:p>
        </w:tc>
        <w:tc>
          <w:tcPr/>
          <w:p>
            <w:pPr>
              <w:pStyle w:val="Compact"/>
              <w:jc w:val="left"/>
            </w:pPr>
            <w:r>
              <w:t xml:space="preserve">N/A</w:t>
            </w:r>
          </w:p>
        </w:tc>
        <w:tc>
          <w:tcPr/>
          <w:p>
            <w:pPr>
              <w:pStyle w:val="Compact"/>
              <w:jc w:val="left"/>
            </w:pPr>
            <w:r>
              <w:t xml:space="preserve">No</w:t>
            </w:r>
          </w:p>
        </w:tc>
        <w:tc>
          <w:tcPr/>
          <w:p>
            <w:pPr>
              <w:pStyle w:val="Compact"/>
              <w:jc w:val="left"/>
            </w:pPr>
            <w:r>
              <w:t xml:space="preserve">HRBP</w:t>
            </w:r>
          </w:p>
        </w:tc>
      </w:tr>
      <w:tr>
        <w:tc>
          <w:tcPr/>
          <w:p>
            <w:pPr>
              <w:pStyle w:val="Compact"/>
              <w:jc w:val="left"/>
            </w:pPr>
            <w:r>
              <w:t xml:space="preserve">Paternity Leave</w:t>
            </w:r>
          </w:p>
        </w:tc>
        <w:tc>
          <w:tcPr/>
          <w:p>
            <w:pPr>
              <w:pStyle w:val="Compact"/>
              <w:jc w:val="left"/>
            </w:pPr>
            <w:r>
              <w:t xml:space="preserve">15 days</w:t>
            </w:r>
          </w:p>
        </w:tc>
        <w:tc>
          <w:tcPr/>
          <w:p>
            <w:pPr>
              <w:pStyle w:val="Compact"/>
              <w:jc w:val="left"/>
            </w:pPr>
            <w:r>
              <w:t xml:space="preserve">N/A</w:t>
            </w:r>
          </w:p>
        </w:tc>
        <w:tc>
          <w:tcPr/>
          <w:p>
            <w:pPr>
              <w:pStyle w:val="Compact"/>
              <w:jc w:val="left"/>
            </w:pPr>
            <w:r>
              <w:t xml:space="preserve">No</w:t>
            </w:r>
          </w:p>
        </w:tc>
        <w:tc>
          <w:tcPr/>
          <w:p>
            <w:pPr>
              <w:pStyle w:val="Compact"/>
              <w:jc w:val="left"/>
            </w:pPr>
            <w:r>
              <w:t xml:space="preserve">RM</w:t>
            </w:r>
          </w:p>
        </w:tc>
      </w:tr>
      <w:tr>
        <w:tc>
          <w:tcPr/>
          <w:p>
            <w:pPr>
              <w:pStyle w:val="Compact"/>
              <w:jc w:val="left"/>
            </w:pPr>
            <w:r>
              <w:t xml:space="preserve">Bereavement Leave</w:t>
            </w:r>
          </w:p>
        </w:tc>
        <w:tc>
          <w:tcPr/>
          <w:p>
            <w:pPr>
              <w:pStyle w:val="Compact"/>
              <w:jc w:val="left"/>
            </w:pPr>
            <w:r>
              <w:t xml:space="preserve">5 days</w:t>
            </w:r>
          </w:p>
        </w:tc>
        <w:tc>
          <w:tcPr/>
          <w:p>
            <w:pPr>
              <w:pStyle w:val="Compact"/>
              <w:jc w:val="left"/>
            </w:pPr>
            <w:r>
              <w:t xml:space="preserve">N/A</w:t>
            </w:r>
          </w:p>
        </w:tc>
        <w:tc>
          <w:tcPr/>
          <w:p>
            <w:pPr>
              <w:pStyle w:val="Compact"/>
              <w:jc w:val="left"/>
            </w:pPr>
            <w:r>
              <w:t xml:space="preserve">No</w:t>
            </w:r>
          </w:p>
        </w:tc>
        <w:tc>
          <w:tcPr/>
          <w:p>
            <w:pPr>
              <w:pStyle w:val="Compact"/>
              <w:jc w:val="left"/>
            </w:pPr>
            <w:r>
              <w:t xml:space="preserve">RM</w:t>
            </w:r>
          </w:p>
        </w:tc>
      </w:tr>
      <w:tr>
        <w:tc>
          <w:tcPr/>
          <w:p>
            <w:pPr>
              <w:pStyle w:val="Compact"/>
              <w:jc w:val="left"/>
            </w:pPr>
            <w:r>
              <w:t xml:space="preserve">Comp-Off</w:t>
            </w:r>
          </w:p>
        </w:tc>
        <w:tc>
          <w:tcPr/>
          <w:p>
            <w:pPr>
              <w:pStyle w:val="Compact"/>
              <w:jc w:val="left"/>
            </w:pPr>
            <w:r>
              <w:t xml:space="preserve">As accrued</w:t>
            </w:r>
          </w:p>
        </w:tc>
        <w:tc>
          <w:tcPr/>
          <w:p>
            <w:pPr>
              <w:pStyle w:val="Compact"/>
              <w:jc w:val="left"/>
            </w:pPr>
            <w:r>
              <w:t xml:space="preserve">No (60-day expiry)</w:t>
            </w:r>
          </w:p>
        </w:tc>
        <w:tc>
          <w:tcPr/>
          <w:p>
            <w:pPr>
              <w:pStyle w:val="Compact"/>
              <w:jc w:val="left"/>
            </w:pPr>
            <w:r>
              <w:t xml:space="preserve">No</w:t>
            </w:r>
          </w:p>
        </w:tc>
        <w:tc>
          <w:tcPr/>
          <w:p>
            <w:pPr>
              <w:pStyle w:val="Compact"/>
              <w:jc w:val="left"/>
            </w:pPr>
            <w:r>
              <w:t xml:space="preserve">RM</w:t>
            </w:r>
          </w:p>
        </w:tc>
      </w:tr>
    </w:tbl>
    <w:p>
      <w:pPr>
        <w:pStyle w:val="BodyText"/>
      </w:pPr>
      <w:r>
        <w:rPr>
          <w:bCs/>
          <w:b/>
        </w:rPr>
        <w:t xml:space="preserve">Warning:</w:t>
      </w:r>
      <w:r>
        <w:t xml:space="preserve"> </w:t>
      </w:r>
      <w:r>
        <w:t xml:space="preserve">Leave balances not encashed or carried forward as per the matrix above lapse automatically on December 31 each year. HR Connect sends reminder notifications starting November 1.</w:t>
      </w:r>
    </w:p>
    <w:bookmarkEnd w:id="31"/>
    <w:bookmarkStart w:id="32" w:name="leave-application-workflow"/>
    <w:p>
      <w:pPr>
        <w:pStyle w:val="Heading3"/>
      </w:pPr>
      <w:r>
        <w:t xml:space="preserve">3.3 Leave Application Workflow</w:t>
      </w:r>
    </w:p>
    <w:p>
      <w:pPr>
        <w:pStyle w:val="SourceCode"/>
      </w:pPr>
      <w:r>
        <w:rPr>
          <w:rStyle w:val="VerbatimChar"/>
        </w:rPr>
        <w:t xml:space="preserve">Employee submits leave request in HR Connect</w:t>
      </w:r>
      <w:r>
        <w:br/>
      </w:r>
      <w:r>
        <w:rPr>
          <w:rStyle w:val="VerbatimChar"/>
        </w:rPr>
        <w:t xml:space="preserve">        ↓</w:t>
      </w:r>
      <w:r>
        <w:br/>
      </w:r>
      <w:r>
        <w:rPr>
          <w:rStyle w:val="VerbatimChar"/>
        </w:rPr>
        <w:t xml:space="preserve">Reporting Manager reviews and approves/rejects</w:t>
      </w:r>
      <w:r>
        <w:br/>
      </w:r>
      <w:r>
        <w:rPr>
          <w:rStyle w:val="VerbatimChar"/>
        </w:rPr>
        <w:t xml:space="preserve">        ↓</w:t>
      </w:r>
      <w:r>
        <w:br/>
      </w:r>
      <w:r>
        <w:rPr>
          <w:rStyle w:val="VerbatimChar"/>
        </w:rPr>
        <w:t xml:space="preserve">HR Connect updates leave balance automatically</w:t>
      </w:r>
      <w:r>
        <w:br/>
      </w:r>
      <w:r>
        <w:rPr>
          <w:rStyle w:val="VerbatimChar"/>
        </w:rPr>
        <w:t xml:space="preserve">        ↓</w:t>
      </w:r>
      <w:r>
        <w:br/>
      </w:r>
      <w:r>
        <w:rPr>
          <w:rStyle w:val="VerbatimChar"/>
        </w:rPr>
        <w:t xml:space="preserve">Payroll system syncs balance for LOP calculation, if applicable</w:t>
      </w:r>
    </w:p>
    <w:p>
      <w:pPr>
        <w:pStyle w:val="FirstParagraph"/>
      </w:pPr>
      <w:r>
        <w:rPr>
          <w:bCs/>
          <w:b/>
        </w:rPr>
        <w:t xml:space="preserve">Example:</w:t>
      </w:r>
      <w:r>
        <w:t xml:space="preserve"> </w:t>
      </w:r>
      <w:r>
        <w:t xml:space="preserve">An employee with 4 days of Earned Leave remaining who requests 6 days of leave will have the request flagged in HR Connect. The Reporting Manager may approve it as 4 days EL plus 2 days LOP, or ask the employee to revise the request.</w:t>
      </w:r>
    </w:p>
    <w:bookmarkEnd w:id="32"/>
    <w:bookmarkStart w:id="33" w:name="public-holidays"/>
    <w:p>
      <w:pPr>
        <w:pStyle w:val="Heading3"/>
      </w:pPr>
      <w:r>
        <w:t xml:space="preserve">3.4 Public Holidays</w:t>
      </w:r>
    </w:p>
    <w:p>
      <w:pPr>
        <w:pStyle w:val="FirstParagraph"/>
      </w:pPr>
      <w:r>
        <w:t xml:space="preserve">SeriesTech observes 10 fixed public holidays per calendar year, published by HR Shared Services every December for the following year, plus 2 floater holidays that employees may apply for through HR Connect based on regional or personal preference.</w:t>
      </w:r>
    </w:p>
    <w:p>
      <w:r>
        <w:pict>
          <v:rect style="width:0;height:1.5pt" o:hralign="center" o:hrstd="t" o:hr="t"/>
        </w:pict>
      </w:r>
    </w:p>
    <w:bookmarkEnd w:id="33"/>
    <w:bookmarkEnd w:id="34"/>
    <w:bookmarkStart w:id="39" w:name="attendance-policy"/>
    <w:p>
      <w:pPr>
        <w:pStyle w:val="Heading2"/>
      </w:pPr>
      <w:r>
        <w:t xml:space="preserve">4. Attendance Policy</w:t>
      </w:r>
    </w:p>
    <w:bookmarkStart w:id="35" w:name="standard-working-hours"/>
    <w:p>
      <w:pPr>
        <w:pStyle w:val="Heading3"/>
      </w:pPr>
      <w:r>
        <w:t xml:space="preserve">4.1 Standard Working Hours</w:t>
      </w:r>
    </w:p>
    <w:p>
      <w:pPr>
        <w:pStyle w:val="FirstParagraph"/>
      </w:pPr>
      <w:r>
        <w:t xml:space="preserve">Standard working hours are 9:30 AM to 6:30 PM IST (or local office equivalent), Monday through Friday, with a 1-hour lunch break. Core collaboration hours, during which all employees are expected to be reachable, are 11:00 AM to 4:00 PM IST.</w:t>
      </w:r>
    </w:p>
    <w:bookmarkEnd w:id="35"/>
    <w:bookmarkStart w:id="36" w:name="attendance-recording"/>
    <w:p>
      <w:pPr>
        <w:pStyle w:val="Heading3"/>
      </w:pPr>
      <w:r>
        <w:t xml:space="preserve">4.2 Attendance Recording</w:t>
      </w:r>
    </w:p>
    <w:p>
      <w:pPr>
        <w:pStyle w:val="FirstParagraph"/>
      </w:pPr>
      <w:r>
        <w:t xml:space="preserve">Attendance is recorded automatically through badge-in/badge-out at office locations, and through the HR Connect mobile app for remote and hybrid employees. Employees must regularize any missed punch within 3 working days via HR Connect &gt; Attendance &gt; Regularization.</w:t>
      </w:r>
    </w:p>
    <w:p>
      <w:pPr>
        <w:pStyle w:val="BodyText"/>
      </w:pPr>
      <w:r>
        <w:rPr>
          <w:bCs/>
          <w:b/>
        </w:rPr>
        <w:t xml:space="preserve">Note:</w:t>
      </w:r>
      <w:r>
        <w:t xml:space="preserve"> </w:t>
      </w:r>
      <w:r>
        <w:t xml:space="preserve">Three or more unregularized missed punches in a calendar month will trigger an automated escalation email to the Reporting Manager.</w:t>
      </w:r>
    </w:p>
    <w:bookmarkEnd w:id="36"/>
    <w:bookmarkStart w:id="37" w:name="late-arrivals-and-half-days"/>
    <w:p>
      <w:pPr>
        <w:pStyle w:val="Heading3"/>
      </w:pPr>
      <w:r>
        <w:t xml:space="preserve">4.3 Late Arrivals and Half-Days</w:t>
      </w:r>
    </w:p>
    <w:p>
      <w:pPr>
        <w:numPr>
          <w:ilvl w:val="0"/>
          <w:numId w:val="1003"/>
        </w:numPr>
        <w:pStyle w:val="Compact"/>
      </w:pPr>
      <w:r>
        <w:t xml:space="preserve">Arrival after 10:30 AM without prior notification to the RM is logged as a late arrival.</w:t>
      </w:r>
    </w:p>
    <w:p>
      <w:pPr>
        <w:numPr>
          <w:ilvl w:val="0"/>
          <w:numId w:val="1003"/>
        </w:numPr>
        <w:pStyle w:val="Compact"/>
      </w:pPr>
      <w:r>
        <w:t xml:space="preserve">Four or more late arrivals in a month may result in a documented conversation with the RM.</w:t>
      </w:r>
    </w:p>
    <w:p>
      <w:pPr>
        <w:numPr>
          <w:ilvl w:val="0"/>
          <w:numId w:val="1003"/>
        </w:numPr>
        <w:pStyle w:val="Compact"/>
      </w:pPr>
      <w:r>
        <w:t xml:space="preserve">An employee present for fewer than 4.5 hours in a working day is marked as a half-day, deducted at 0.5 days from the Casual Leave balance (or LOP if no balance remains).</w:t>
      </w:r>
    </w:p>
    <w:bookmarkEnd w:id="37"/>
    <w:bookmarkStart w:id="38" w:name="overtime-and-comp-off"/>
    <w:p>
      <w:pPr>
        <w:pStyle w:val="Heading3"/>
      </w:pPr>
      <w:r>
        <w:t xml:space="preserve">4.4 Overtime and Comp-Off</w:t>
      </w:r>
    </w:p>
    <w:p>
      <w:pPr>
        <w:pStyle w:val="FirstParagraph"/>
      </w:pPr>
      <w:r>
        <w:t xml:space="preserve">Overtime work must be pre-approved by the Reporting Manager through HR Connect. Approved overtime on weekends or public holidays converts to Comp-Off at a 1:1 ratio, subject to the 60-day expiry described in Section 3.2.</w:t>
      </w:r>
    </w:p>
    <w:p>
      <w:r>
        <w:pict>
          <v:rect style="width:0;height:1.5pt" o:hralign="center" o:hrstd="t" o:hr="t"/>
        </w:pict>
      </w:r>
    </w:p>
    <w:bookmarkEnd w:id="38"/>
    <w:bookmarkEnd w:id="39"/>
    <w:bookmarkStart w:id="44" w:name="work-from-home-wfh-policy"/>
    <w:p>
      <w:pPr>
        <w:pStyle w:val="Heading2"/>
      </w:pPr>
      <w:r>
        <w:t xml:space="preserve">5. Work From Home (WFH) Policy</w:t>
      </w:r>
    </w:p>
    <w:bookmarkStart w:id="40" w:name="eligibility"/>
    <w:p>
      <w:pPr>
        <w:pStyle w:val="Heading3"/>
      </w:pPr>
      <w:r>
        <w:t xml:space="preserve">5.1 Eligibility</w:t>
      </w:r>
    </w:p>
    <w:p>
      <w:pPr>
        <w:pStyle w:val="FirstParagraph"/>
      </w:pPr>
      <w:r>
        <w:t xml:space="preserve">All RFT and FTC employees, except those in roles explicitly designated as</w:t>
      </w:r>
      <w:r>
        <w:t xml:space="preserve"> </w:t>
      </w:r>
      <w:r>
        <w:t xml:space="preserve">“</w:t>
      </w:r>
      <w:r>
        <w:t xml:space="preserve">Office-Mandatory</w:t>
      </w:r>
      <w:r>
        <w:t xml:space="preserve">”</w:t>
      </w:r>
      <w:r>
        <w:t xml:space="preserve"> </w:t>
      </w:r>
      <w:r>
        <w:t xml:space="preserve">(such as certain Facilities and IT hardware roles), are eligible for the Hybrid Work Model.</w:t>
      </w:r>
    </w:p>
    <w:bookmarkEnd w:id="40"/>
    <w:bookmarkStart w:id="41" w:name="hybrid-work-model"/>
    <w:p>
      <w:pPr>
        <w:pStyle w:val="Heading3"/>
      </w:pPr>
      <w:r>
        <w:t xml:space="preserve">5.2 Hybrid Work Model</w:t>
      </w:r>
    </w:p>
    <w:p>
      <w:pPr>
        <w:pStyle w:val="FirstParagraph"/>
      </w:pPr>
      <w:r>
        <w:t xml:space="preserve">SeriesTech operates a hybrid model requiring a minimum of 3 days per week in the assigned office location, with Tuesday and Thursday designated as mandatory in-office collaboration days across all departments. The remaining 2 days may be worked from home, subject to Reporting Manager visibility via the HR Connect calendar.</w:t>
      </w:r>
    </w:p>
    <w:p>
      <w:pPr>
        <w:pStyle w:val="BodyText"/>
      </w:pPr>
      <w:r>
        <w:rPr>
          <w:bCs/>
          <w:b/>
        </w:rPr>
        <w:t xml:space="preserve">Department Matrix — In-Office Requirements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Department</w:t>
            </w:r>
          </w:p>
        </w:tc>
        <w:tc>
          <w:tcPr/>
          <w:p>
            <w:pPr>
              <w:pStyle w:val="Compact"/>
              <w:jc w:val="left"/>
            </w:pPr>
            <w:r>
              <w:t xml:space="preserve">Mandatory In-Office Days</w:t>
            </w:r>
          </w:p>
        </w:tc>
        <w:tc>
          <w:tcPr/>
          <w:p>
            <w:pPr>
              <w:pStyle w:val="Compact"/>
              <w:jc w:val="left"/>
            </w:pPr>
            <w:r>
              <w:t xml:space="preserve">Notes</w:t>
            </w:r>
          </w:p>
        </w:tc>
      </w:tr>
      <w:tr>
        <w:tc>
          <w:tcPr/>
          <w:p>
            <w:pPr>
              <w:pStyle w:val="Compact"/>
              <w:jc w:val="left"/>
            </w:pPr>
            <w:r>
              <w:t xml:space="preserve">Human Resources</w:t>
            </w:r>
          </w:p>
        </w:tc>
        <w:tc>
          <w:tcPr/>
          <w:p>
            <w:pPr>
              <w:pStyle w:val="Compact"/>
              <w:jc w:val="left"/>
            </w:pPr>
            <w:r>
              <w:t xml:space="preserve">Tue, Thu, Fri</w:t>
            </w:r>
          </w:p>
        </w:tc>
        <w:tc>
          <w:tcPr/>
          <w:p>
            <w:pPr>
              <w:pStyle w:val="Compact"/>
              <w:jc w:val="left"/>
            </w:pPr>
            <w:r>
              <w:t xml:space="preserve">Confidential records require office access</w:t>
            </w:r>
          </w:p>
        </w:tc>
      </w:tr>
      <w:tr>
        <w:tc>
          <w:tcPr/>
          <w:p>
            <w:pPr>
              <w:pStyle w:val="Compact"/>
              <w:jc w:val="left"/>
            </w:pPr>
            <w:r>
              <w:t xml:space="preserve">Information Technology</w:t>
            </w:r>
          </w:p>
        </w:tc>
        <w:tc>
          <w:tcPr/>
          <w:p>
            <w:pPr>
              <w:pStyle w:val="Compact"/>
              <w:jc w:val="left"/>
            </w:pPr>
            <w:r>
              <w:t xml:space="preserve">Tue, Thu</w:t>
            </w:r>
          </w:p>
        </w:tc>
        <w:tc>
          <w:tcPr/>
          <w:p>
            <w:pPr>
              <w:pStyle w:val="Compact"/>
              <w:jc w:val="left"/>
            </w:pPr>
            <w:r>
              <w:t xml:space="preserve">Remote access permitted for on-call rotations</w:t>
            </w:r>
          </w:p>
        </w:tc>
      </w:tr>
      <w:tr>
        <w:tc>
          <w:tcPr/>
          <w:p>
            <w:pPr>
              <w:pStyle w:val="Compact"/>
              <w:jc w:val="left"/>
            </w:pPr>
            <w:r>
              <w:t xml:space="preserve">Engineering</w:t>
            </w:r>
          </w:p>
        </w:tc>
        <w:tc>
          <w:tcPr/>
          <w:p>
            <w:pPr>
              <w:pStyle w:val="Compact"/>
              <w:jc w:val="left"/>
            </w:pPr>
            <w:r>
              <w:t xml:space="preserve">Tue, Thu</w:t>
            </w:r>
          </w:p>
        </w:tc>
        <w:tc>
          <w:tcPr/>
          <w:p>
            <w:pPr>
              <w:pStyle w:val="Compact"/>
              <w:jc w:val="left"/>
            </w:pPr>
            <w:r>
              <w:t xml:space="preserve">Flexible beyond mandatory days, subject to sprint ceremonies</w:t>
            </w:r>
          </w:p>
        </w:tc>
      </w:tr>
      <w:tr>
        <w:tc>
          <w:tcPr/>
          <w:p>
            <w:pPr>
              <w:pStyle w:val="Compact"/>
              <w:jc w:val="left"/>
            </w:pPr>
            <w:r>
              <w:t xml:space="preserve">Projects</w:t>
            </w:r>
          </w:p>
        </w:tc>
        <w:tc>
          <w:tcPr/>
          <w:p>
            <w:pPr>
              <w:pStyle w:val="Compact"/>
              <w:jc w:val="left"/>
            </w:pPr>
            <w:r>
              <w:t xml:space="preserve">Tue, Thu</w:t>
            </w:r>
          </w:p>
        </w:tc>
        <w:tc>
          <w:tcPr/>
          <w:p>
            <w:pPr>
              <w:pStyle w:val="Compact"/>
              <w:jc w:val="left"/>
            </w:pPr>
            <w:r>
              <w:t xml:space="preserve">Client-facing roles may require additional days</w:t>
            </w:r>
          </w:p>
        </w:tc>
      </w:tr>
      <w:tr>
        <w:tc>
          <w:tcPr/>
          <w:p>
            <w:pPr>
              <w:pStyle w:val="Compact"/>
              <w:jc w:val="left"/>
            </w:pPr>
            <w:r>
              <w:t xml:space="preserve">DevOps</w:t>
            </w:r>
          </w:p>
        </w:tc>
        <w:tc>
          <w:tcPr/>
          <w:p>
            <w:pPr>
              <w:pStyle w:val="Compact"/>
              <w:jc w:val="left"/>
            </w:pPr>
            <w:r>
              <w:t xml:space="preserve">Tue, Thu</w:t>
            </w:r>
          </w:p>
        </w:tc>
        <w:tc>
          <w:tcPr/>
          <w:p>
            <w:pPr>
              <w:pStyle w:val="Compact"/>
              <w:jc w:val="left"/>
            </w:pPr>
            <w:r>
              <w:t xml:space="preserve">On-call engineers may work remotely during on-call week</w:t>
            </w:r>
          </w:p>
        </w:tc>
      </w:tr>
      <w:tr>
        <w:tc>
          <w:tcPr/>
          <w:p>
            <w:pPr>
              <w:pStyle w:val="Compact"/>
              <w:jc w:val="left"/>
            </w:pPr>
            <w:r>
              <w:t xml:space="preserve">Quality Assurance</w:t>
            </w:r>
          </w:p>
        </w:tc>
        <w:tc>
          <w:tcPr/>
          <w:p>
            <w:pPr>
              <w:pStyle w:val="Compact"/>
              <w:jc w:val="left"/>
            </w:pPr>
            <w:r>
              <w:t xml:space="preserve">Tue, Thu</w:t>
            </w:r>
          </w:p>
        </w:tc>
        <w:tc>
          <w:tcPr/>
          <w:p>
            <w:pPr>
              <w:pStyle w:val="Compact"/>
              <w:jc w:val="left"/>
            </w:pPr>
            <w:r>
              <w:t xml:space="preserve">Release week requires full in-office presence</w:t>
            </w:r>
          </w:p>
        </w:tc>
      </w:tr>
      <w:tr>
        <w:tc>
          <w:tcPr/>
          <w:p>
            <w:pPr>
              <w:pStyle w:val="Compact"/>
              <w:jc w:val="left"/>
            </w:pPr>
            <w:r>
              <w:t xml:space="preserve">Architecture</w:t>
            </w:r>
          </w:p>
        </w:tc>
        <w:tc>
          <w:tcPr/>
          <w:p>
            <w:pPr>
              <w:pStyle w:val="Compact"/>
              <w:jc w:val="left"/>
            </w:pPr>
            <w:r>
              <w:t xml:space="preserve">Tue, Thu</w:t>
            </w:r>
          </w:p>
        </w:tc>
        <w:tc>
          <w:tcPr/>
          <w:p>
            <w:pPr>
              <w:pStyle w:val="Compact"/>
              <w:jc w:val="left"/>
            </w:pPr>
            <w:r>
              <w:t xml:space="preserve">Design review days may require additional office presence</w:t>
            </w:r>
          </w:p>
        </w:tc>
      </w:tr>
      <w:tr>
        <w:tc>
          <w:tcPr/>
          <w:p>
            <w:pPr>
              <w:pStyle w:val="Compact"/>
              <w:jc w:val="left"/>
            </w:pPr>
            <w:r>
              <w:t xml:space="preserve">Customer Support</w:t>
            </w:r>
          </w:p>
        </w:tc>
        <w:tc>
          <w:tcPr/>
          <w:p>
            <w:pPr>
              <w:pStyle w:val="Compact"/>
              <w:jc w:val="left"/>
            </w:pPr>
            <w:r>
              <w:t xml:space="preserve">Tue, Wed, Thu</w:t>
            </w:r>
          </w:p>
        </w:tc>
        <w:tc>
          <w:tcPr/>
          <w:p>
            <w:pPr>
              <w:pStyle w:val="Compact"/>
              <w:jc w:val="left"/>
            </w:pPr>
            <w:r>
              <w:t xml:space="preserve">Coverage-based scheduling applies</w:t>
            </w:r>
          </w:p>
        </w:tc>
      </w:tr>
    </w:tbl>
    <w:bookmarkEnd w:id="41"/>
    <w:bookmarkStart w:id="42" w:name="fully-remote-exceptions"/>
    <w:p>
      <w:pPr>
        <w:pStyle w:val="Heading3"/>
      </w:pPr>
      <w:r>
        <w:t xml:space="preserve">5.3 Fully Remote Exceptions</w:t>
      </w:r>
    </w:p>
    <w:p>
      <w:pPr>
        <w:pStyle w:val="FirstParagraph"/>
      </w:pPr>
      <w:r>
        <w:t xml:space="preserve">Employees under the Distributed Workforce Program, or those with an approved medical or personal accommodation, may work fully remote. Requests are submitted via HR Connect &gt; WFH &gt; Exception Request and require HRBP and Reporting Manager sign-off.</w:t>
      </w:r>
    </w:p>
    <w:bookmarkEnd w:id="42"/>
    <w:bookmarkStart w:id="43" w:name="home-office-requirements"/>
    <w:p>
      <w:pPr>
        <w:pStyle w:val="Heading3"/>
      </w:pPr>
      <w:r>
        <w:t xml:space="preserve">5.4 Home Office Requirements</w:t>
      </w:r>
    </w:p>
    <w:p>
      <w:pPr>
        <w:pStyle w:val="FirstParagraph"/>
      </w:pPr>
      <w:r>
        <w:t xml:space="preserve">Employees working remotely must maintain a stable internet connection of at least 20 Mbps, a private workspace suitable for confidential calls, and compliance with the IT Security &amp; Infrastructure Guide (STL-IT-SEC-002), particularly regarding VPN use and endpoint security for company-issued devices.</w:t>
      </w:r>
    </w:p>
    <w:p>
      <w:pPr>
        <w:pStyle w:val="BodyText"/>
      </w:pPr>
      <w:r>
        <w:rPr>
          <w:bCs/>
          <w:b/>
        </w:rPr>
        <w:t xml:space="preserve">Best Practice:</w:t>
      </w:r>
      <w:r>
        <w:t xml:space="preserve"> </w:t>
      </w:r>
      <w:r>
        <w:t xml:space="preserve">Keep your company laptop on the corporate VPN whenever accessing HR Connect, Jira, or Confluence from outside the office network.</w:t>
      </w:r>
    </w:p>
    <w:p>
      <w:r>
        <w:pict>
          <v:rect style="width:0;height:1.5pt" o:hralign="center" o:hrstd="t" o:hr="t"/>
        </w:pict>
      </w:r>
    </w:p>
    <w:bookmarkEnd w:id="43"/>
    <w:bookmarkEnd w:id="44"/>
    <w:bookmarkStart w:id="50" w:name="code-of-conduct"/>
    <w:p>
      <w:pPr>
        <w:pStyle w:val="Heading2"/>
      </w:pPr>
      <w:r>
        <w:t xml:space="preserve">6. Code of Conduct</w:t>
      </w:r>
    </w:p>
    <w:bookmarkStart w:id="45" w:name="core-principles"/>
    <w:p>
      <w:pPr>
        <w:pStyle w:val="Heading3"/>
      </w:pPr>
      <w:r>
        <w:t xml:space="preserve">6.1 Core Principles</w:t>
      </w:r>
    </w:p>
    <w:p>
      <w:pPr>
        <w:pStyle w:val="FirstParagraph"/>
      </w:pPr>
      <w:r>
        <w:t xml:space="preserve">SeriesTech’s Code of Conduct is built on five principles: Integrity, Respect, Accountability, Confidentiality, and Client Focus. All employees, contractors, and vendors acting on behalf of SeriesTech are expected to uphold these principles in every interaction.</w:t>
      </w:r>
    </w:p>
    <w:bookmarkEnd w:id="45"/>
    <w:bookmarkStart w:id="46" w:name="workplace-behavior"/>
    <w:p>
      <w:pPr>
        <w:pStyle w:val="Heading3"/>
      </w:pPr>
      <w:r>
        <w:t xml:space="preserve">6.2 Workplace Behavior</w:t>
      </w:r>
    </w:p>
    <w:p>
      <w:pPr>
        <w:numPr>
          <w:ilvl w:val="0"/>
          <w:numId w:val="1004"/>
        </w:numPr>
        <w:pStyle w:val="Compact"/>
      </w:pPr>
      <w:r>
        <w:t xml:space="preserve">Harassment, discrimination, or retaliation of any kind is strictly prohibited and may result in immediate termination.</w:t>
      </w:r>
    </w:p>
    <w:p>
      <w:pPr>
        <w:numPr>
          <w:ilvl w:val="0"/>
          <w:numId w:val="1004"/>
        </w:numPr>
        <w:pStyle w:val="Compact"/>
      </w:pPr>
      <w:r>
        <w:t xml:space="preserve">Employees must report suspected violations through the confidential Ethics Hotline (ethics@seriestech.com) or via HR Connect &gt; Report a Concern.</w:t>
      </w:r>
    </w:p>
    <w:p>
      <w:pPr>
        <w:numPr>
          <w:ilvl w:val="0"/>
          <w:numId w:val="1004"/>
        </w:numPr>
        <w:pStyle w:val="Compact"/>
      </w:pPr>
      <w:r>
        <w:t xml:space="preserve">Conflicts of interest, including outside employment or financial relationships with vendors, must be disclosed to HRBP within 5 working days of arising.</w:t>
      </w:r>
    </w:p>
    <w:bookmarkEnd w:id="46"/>
    <w:bookmarkStart w:id="47" w:name="confidentiality-and-data-handling"/>
    <w:p>
      <w:pPr>
        <w:pStyle w:val="Heading3"/>
      </w:pPr>
      <w:r>
        <w:t xml:space="preserve">6.3 Confidentiality and Data Handling</w:t>
      </w:r>
    </w:p>
    <w:p>
      <w:pPr>
        <w:pStyle w:val="FirstParagraph"/>
      </w:pPr>
      <w:r>
        <w:t xml:space="preserve">Employees handling client data, particularly on Projects such as Project Alpha, must adhere to the Data Protection guidelines in the IT Security &amp; Infrastructure Guide (STL-IT-SEC-002) and the Non-Disclosure Agreement signed at onboarding. Sharing client or internal data outside authorized systems (for example, personal email or unapproved cloud storage) is a serious violation.</w:t>
      </w:r>
    </w:p>
    <w:bookmarkEnd w:id="47"/>
    <w:bookmarkStart w:id="48" w:name="anti-bribery-and-gifts"/>
    <w:p>
      <w:pPr>
        <w:pStyle w:val="Heading3"/>
      </w:pPr>
      <w:r>
        <w:t xml:space="preserve">6.4 Anti-Bribery and Gifts</w:t>
      </w:r>
    </w:p>
    <w:p>
      <w:pPr>
        <w:pStyle w:val="FirstParagraph"/>
      </w:pPr>
      <w:r>
        <w:t xml:space="preserve">Gifts from vendors or clients exceeding INR 5,000 in value must be declared to HRBP and may need to be surrendered to the Admin team or declined, depending on the Gift Register review.</w:t>
      </w:r>
    </w:p>
    <w:bookmarkEnd w:id="48"/>
    <w:bookmarkStart w:id="49" w:name="disciplinary-process"/>
    <w:p>
      <w:pPr>
        <w:pStyle w:val="Heading3"/>
      </w:pPr>
      <w:r>
        <w:t xml:space="preserve">6.5 Disciplinary Process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Violation Category</w:t>
            </w:r>
          </w:p>
        </w:tc>
        <w:tc>
          <w:tcPr/>
          <w:p>
            <w:pPr>
              <w:pStyle w:val="Compact"/>
              <w:jc w:val="left"/>
            </w:pPr>
            <w:r>
              <w:t xml:space="preserve">Example</w:t>
            </w:r>
          </w:p>
        </w:tc>
        <w:tc>
          <w:tcPr/>
          <w:p>
            <w:pPr>
              <w:pStyle w:val="Compact"/>
              <w:jc w:val="left"/>
            </w:pPr>
            <w:r>
              <w:t xml:space="preserve">Typical Action</w:t>
            </w:r>
          </w:p>
        </w:tc>
      </w:tr>
      <w:tr>
        <w:tc>
          <w:tcPr/>
          <w:p>
            <w:pPr>
              <w:pStyle w:val="Compact"/>
              <w:jc w:val="left"/>
            </w:pPr>
            <w:r>
              <w:t xml:space="preserve">Minor</w:t>
            </w:r>
          </w:p>
        </w:tc>
        <w:tc>
          <w:tcPr/>
          <w:p>
            <w:pPr>
              <w:pStyle w:val="Compact"/>
              <w:jc w:val="left"/>
            </w:pPr>
            <w:r>
              <w:t xml:space="preserve">Repeated late attendance without regularization</w:t>
            </w:r>
          </w:p>
        </w:tc>
        <w:tc>
          <w:tcPr/>
          <w:p>
            <w:pPr>
              <w:pStyle w:val="Compact"/>
              <w:jc w:val="left"/>
            </w:pPr>
            <w:r>
              <w:t xml:space="preserve">Verbal counseling, documented in HR Connect</w:t>
            </w:r>
          </w:p>
        </w:tc>
      </w:tr>
      <w:tr>
        <w:tc>
          <w:tcPr/>
          <w:p>
            <w:pPr>
              <w:pStyle w:val="Compact"/>
              <w:jc w:val="left"/>
            </w:pPr>
            <w:r>
              <w:t xml:space="preserve">Moderate</w:t>
            </w:r>
          </w:p>
        </w:tc>
        <w:tc>
          <w:tcPr/>
          <w:p>
            <w:pPr>
              <w:pStyle w:val="Compact"/>
              <w:jc w:val="left"/>
            </w:pPr>
            <w:r>
              <w:t xml:space="preserve">Breach of data handling guidelines</w:t>
            </w:r>
          </w:p>
        </w:tc>
        <w:tc>
          <w:tcPr/>
          <w:p>
            <w:pPr>
              <w:pStyle w:val="Compact"/>
              <w:jc w:val="left"/>
            </w:pPr>
            <w:r>
              <w:t xml:space="preserve">Written warning, mandatory retraining</w:t>
            </w:r>
          </w:p>
        </w:tc>
      </w:tr>
      <w:tr>
        <w:tc>
          <w:tcPr/>
          <w:p>
            <w:pPr>
              <w:pStyle w:val="Compact"/>
              <w:jc w:val="left"/>
            </w:pPr>
            <w:r>
              <w:t xml:space="preserve">Serious</w:t>
            </w:r>
          </w:p>
        </w:tc>
        <w:tc>
          <w:tcPr/>
          <w:p>
            <w:pPr>
              <w:pStyle w:val="Compact"/>
              <w:jc w:val="left"/>
            </w:pPr>
            <w:r>
              <w:t xml:space="preserve">Harassment, fraud, IP theft</w:t>
            </w:r>
          </w:p>
        </w:tc>
        <w:tc>
          <w:tcPr/>
          <w:p>
            <w:pPr>
              <w:pStyle w:val="Compact"/>
              <w:jc w:val="left"/>
            </w:pPr>
            <w:r>
              <w:t xml:space="preserve">Suspension pending investigation, up to termination</w:t>
            </w:r>
          </w:p>
        </w:tc>
      </w:tr>
      <w:tr>
        <w:tc>
          <w:tcPr/>
          <w:p>
            <w:pPr>
              <w:pStyle w:val="Compact"/>
              <w:jc w:val="left"/>
            </w:pPr>
            <w:r>
              <w:t xml:space="preserve">Critical</w:t>
            </w:r>
          </w:p>
        </w:tc>
        <w:tc>
          <w:tcPr/>
          <w:p>
            <w:pPr>
              <w:pStyle w:val="Compact"/>
              <w:jc w:val="left"/>
            </w:pPr>
            <w:r>
              <w:t xml:space="preserve">Safety violation causing harm, criminal conduct</w:t>
            </w:r>
          </w:p>
        </w:tc>
        <w:tc>
          <w:tcPr/>
          <w:p>
            <w:pPr>
              <w:pStyle w:val="Compact"/>
              <w:jc w:val="left"/>
            </w:pPr>
            <w:r>
              <w:t xml:space="preserve">Immediate termination, potential legal action</w:t>
            </w:r>
          </w:p>
        </w:tc>
      </w:tr>
    </w:tbl>
    <w:p>
      <w:r>
        <w:pict>
          <v:rect style="width:0;height:1.5pt" o:hralign="center" o:hrstd="t" o:hr="t"/>
        </w:pict>
      </w:r>
    </w:p>
    <w:bookmarkEnd w:id="49"/>
    <w:bookmarkEnd w:id="50"/>
    <w:bookmarkStart w:id="51" w:name="frequently-referenced-contacts"/>
    <w:p>
      <w:pPr>
        <w:pStyle w:val="Heading2"/>
      </w:pPr>
      <w:r>
        <w:t xml:space="preserve">7. Frequently Referenced Contacts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Purpose</w:t>
            </w:r>
          </w:p>
        </w:tc>
        <w:tc>
          <w:tcPr/>
          <w:p>
            <w:pPr>
              <w:pStyle w:val="Compact"/>
              <w:jc w:val="left"/>
            </w:pPr>
            <w:r>
              <w:t xml:space="preserve">Contact</w:t>
            </w:r>
          </w:p>
        </w:tc>
      </w:tr>
      <w:tr>
        <w:tc>
          <w:tcPr/>
          <w:p>
            <w:pPr>
              <w:pStyle w:val="Compact"/>
              <w:jc w:val="left"/>
            </w:pPr>
            <w:r>
              <w:t xml:space="preserve">General HR queries</w:t>
            </w:r>
          </w:p>
        </w:tc>
        <w:tc>
          <w:tcPr/>
          <w:p>
            <w:pPr>
              <w:pStyle w:val="Compact"/>
              <w:jc w:val="left"/>
            </w:pPr>
            <w:r>
              <w:t xml:space="preserve">hr-support@seriestech.com</w:t>
            </w:r>
          </w:p>
        </w:tc>
      </w:tr>
      <w:tr>
        <w:tc>
          <w:tcPr/>
          <w:p>
            <w:pPr>
              <w:pStyle w:val="Compact"/>
              <w:jc w:val="left"/>
            </w:pPr>
            <w:r>
              <w:t xml:space="preserve">Grievance Redressal</w:t>
            </w:r>
          </w:p>
        </w:tc>
        <w:tc>
          <w:tcPr/>
          <w:p>
            <w:pPr>
              <w:pStyle w:val="Compact"/>
              <w:jc w:val="left"/>
            </w:pPr>
            <w:r>
              <w:t xml:space="preserve">grievance-redressal@seriestech.com</w:t>
            </w:r>
          </w:p>
        </w:tc>
      </w:tr>
      <w:tr>
        <w:tc>
          <w:tcPr/>
          <w:p>
            <w:pPr>
              <w:pStyle w:val="Compact"/>
              <w:jc w:val="left"/>
            </w:pPr>
            <w:r>
              <w:t xml:space="preserve">Ethics Hotline</w:t>
            </w:r>
          </w:p>
        </w:tc>
        <w:tc>
          <w:tcPr/>
          <w:p>
            <w:pPr>
              <w:pStyle w:val="Compact"/>
              <w:jc w:val="left"/>
            </w:pPr>
            <w:r>
              <w:t xml:space="preserve">ethics@seriestech.com</w:t>
            </w:r>
          </w:p>
        </w:tc>
      </w:tr>
      <w:tr>
        <w:tc>
          <w:tcPr/>
          <w:p>
            <w:pPr>
              <w:pStyle w:val="Compact"/>
              <w:jc w:val="left"/>
            </w:pPr>
            <w:r>
              <w:t xml:space="preserve">Exit Formalities</w:t>
            </w:r>
          </w:p>
        </w:tc>
        <w:tc>
          <w:tcPr/>
          <w:p>
            <w:pPr>
              <w:pStyle w:val="Compact"/>
              <w:jc w:val="left"/>
            </w:pPr>
            <w:r>
              <w:t xml:space="preserve">exits@seriestech.com</w:t>
            </w:r>
          </w:p>
        </w:tc>
      </w:tr>
      <w:tr>
        <w:tc>
          <w:tcPr/>
          <w:p>
            <w:pPr>
              <w:pStyle w:val="Compact"/>
              <w:jc w:val="left"/>
            </w:pPr>
            <w:r>
              <w:t xml:space="preserve">Payroll Queries</w:t>
            </w:r>
          </w:p>
        </w:tc>
        <w:tc>
          <w:tcPr/>
          <w:p>
            <w:pPr>
              <w:pStyle w:val="Compact"/>
              <w:jc w:val="left"/>
            </w:pPr>
            <w:r>
              <w:t xml:space="preserve">payroll@seriestech.com</w:t>
            </w:r>
          </w:p>
        </w:tc>
      </w:tr>
    </w:tbl>
    <w:bookmarkEnd w:id="51"/>
    <w:bookmarkStart w:id="52" w:name="related-documents"/>
    <w:p>
      <w:pPr>
        <w:pStyle w:val="Heading2"/>
      </w:pPr>
      <w:r>
        <w:t xml:space="preserve">8. Related Documents</w:t>
      </w:r>
    </w:p>
    <w:p>
      <w:pPr>
        <w:numPr>
          <w:ilvl w:val="0"/>
          <w:numId w:val="1005"/>
        </w:numPr>
        <w:pStyle w:val="Compact"/>
      </w:pPr>
      <w:r>
        <w:t xml:space="preserve">STL-IT-SEC-002 — IT Security &amp; Infrastructure Guide</w:t>
      </w:r>
    </w:p>
    <w:p>
      <w:pPr>
        <w:numPr>
          <w:ilvl w:val="0"/>
          <w:numId w:val="1005"/>
        </w:numPr>
        <w:pStyle w:val="Compact"/>
      </w:pPr>
      <w:r>
        <w:t xml:space="preserve">STL-ORG-ONB-007 — Organization Structure &amp; Employee Onboarding Guide</w:t>
      </w:r>
    </w:p>
    <w:p>
      <w:pPr>
        <w:numPr>
          <w:ilvl w:val="0"/>
          <w:numId w:val="1005"/>
        </w:numPr>
        <w:pStyle w:val="Compact"/>
      </w:pPr>
      <w:r>
        <w:t xml:space="preserve">STL-ENG-STD-003 — Engineering Standards (for Engineering-specific conduct addenda)</w:t>
      </w:r>
    </w:p>
    <w:bookmarkEnd w:id="52"/>
    <w:bookmarkStart w:id="53" w:name="references"/>
    <w:p>
      <w:pPr>
        <w:pStyle w:val="Heading2"/>
      </w:pPr>
      <w:r>
        <w:t xml:space="preserve">9. References</w:t>
      </w:r>
    </w:p>
    <w:p>
      <w:pPr>
        <w:numPr>
          <w:ilvl w:val="0"/>
          <w:numId w:val="1006"/>
        </w:numPr>
        <w:pStyle w:val="Compact"/>
      </w:pPr>
      <w:r>
        <w:t xml:space="preserve">Series Tech Ltd. Employment Contract Template, Legal Department, 2026</w:t>
      </w:r>
    </w:p>
    <w:p>
      <w:pPr>
        <w:numPr>
          <w:ilvl w:val="0"/>
          <w:numId w:val="1006"/>
        </w:numPr>
        <w:pStyle w:val="Compact"/>
      </w:pPr>
      <w:r>
        <w:t xml:space="preserve">Statutory Maternity Benefit guidelines as adopted by SeriesTech HR, 2025 revision</w:t>
      </w:r>
    </w:p>
    <w:p>
      <w:pPr>
        <w:numPr>
          <w:ilvl w:val="0"/>
          <w:numId w:val="1006"/>
        </w:numPr>
        <w:pStyle w:val="Compact"/>
      </w:pPr>
      <w:r>
        <w:t xml:space="preserve">SeriesTech Ethics Hotline Charter, v2.1</w:t>
      </w:r>
    </w:p>
    <w:p>
      <w:r>
        <w:pict>
          <v:rect style="width:0;height:1.5pt" o:hralign="center" o:hrstd="t" o:hr="t"/>
        </w:pict>
      </w:r>
    </w:p>
    <w:p>
      <w:pPr>
        <w:pStyle w:val="FirstParagraph"/>
      </w:pPr>
      <w:r>
        <w:rPr>
          <w:bCs/>
          <w:b/>
        </w:rPr>
        <w:t xml:space="preserve">Internal Use Only — Series Tech Ltd. © 2026. Unauthorized distribution of this document outside the organization is prohibited.</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Division Knowledge Base</dc:title>
  <dc:creator/>
  <cp:keywords/>
  <dcterms:created xsi:type="dcterms:W3CDTF">2026-07-15T17:20:24Z</dcterms:created>
  <dcterms:modified xsi:type="dcterms:W3CDTF">2026-07-15T17:20:24Z</dcterms:modified>
</cp:coreProperties>
</file>

<file path=docProps/custom.xml><?xml version="1.0" encoding="utf-8"?>
<Properties xmlns="http://schemas.openxmlformats.org/officeDocument/2006/custom-properties" xmlns:vt="http://schemas.openxmlformats.org/officeDocument/2006/docPropsVTypes"/>
</file>