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Alpha Requirements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project-alpha-requirements-specification"/>
    <w:p>
      <w:pPr>
        <w:pStyle w:val="Heading1"/>
      </w:pPr>
      <w:r>
        <w:t xml:space="preserve">Project Alpha Requirements Specification</w:t>
      </w:r>
    </w:p>
    <w:p>
      <w:pPr>
        <w:pStyle w:val="FirstParagraph"/>
      </w:pPr>
      <w:r>
        <w:rPr>
          <w:bCs/>
          <w:b/>
        </w:rPr>
        <w:t xml:space="preserve">Series Tech Ltd. — Internal Use Only</w:t>
      </w:r>
    </w:p>
    <w:p>
      <w:pPr>
        <w:pStyle w:val="BodyText"/>
      </w:pPr>
      <w:r>
        <w:rPr>
          <w:iCs/>
          <w:i/>
        </w:rPr>
        <w:t xml:space="preserve">[Company Logo Placeholder — SeriesTech_Logo.png]</w:t>
      </w:r>
    </w:p>
    <w:p>
      <w:pPr>
        <w:pStyle w:val="BodyText"/>
      </w:pPr>
      <w:r>
        <w:rPr>
          <w:bCs/>
          <w:b/>
        </w:rPr>
        <w:t xml:space="preserve">Classification:</w:t>
      </w:r>
      <w:r>
        <w:t xml:space="preserve"> </w:t>
      </w:r>
      <w:r>
        <w:t xml:space="preserve">Internal — Confidential</w:t>
      </w:r>
      <w:r>
        <w:t xml:space="preserve"> </w:t>
      </w:r>
      <w:r>
        <w:rPr>
          <w:bCs/>
          <w:b/>
        </w:rPr>
        <w:t xml:space="preserve">Document Number:</w:t>
      </w:r>
      <w:r>
        <w:t xml:space="preserve"> </w:t>
      </w:r>
      <w:r>
        <w:t xml:space="preserve">STL-ALPHA-REQ-004</w:t>
      </w:r>
      <w:r>
        <w:t xml:space="preserve"> </w:t>
      </w:r>
      <w:r>
        <w:rPr>
          <w:bCs/>
          <w:b/>
        </w:rPr>
        <w:t xml:space="preserve">Version:</w:t>
      </w:r>
      <w:r>
        <w:t xml:space="preserve"> </w:t>
      </w:r>
      <w:r>
        <w:t xml:space="preserve">2.3</w:t>
      </w:r>
      <w:r>
        <w:t xml:space="preserve"> </w:t>
      </w:r>
      <w:r>
        <w:rPr>
          <w:bCs/>
          <w:b/>
        </w:rPr>
        <w:t xml:space="preserve">Last Updated:</w:t>
      </w:r>
      <w:r>
        <w:t xml:space="preserve"> </w:t>
      </w:r>
      <w:r>
        <w:t xml:space="preserve">2026-03-10</w:t>
      </w:r>
      <w:r>
        <w:t xml:space="preserve"> </w:t>
      </w:r>
      <w:r>
        <w:rPr>
          <w:bCs/>
          <w:b/>
        </w:rPr>
        <w:t xml:space="preserve">Owner:</w:t>
      </w:r>
      <w:r>
        <w:t xml:space="preserve"> </w:t>
      </w:r>
      <w:r>
        <w:t xml:space="preserve">Project Alpha Product Owner</w:t>
      </w:r>
      <w:r>
        <w:t xml:space="preserve"> </w:t>
      </w:r>
      <w:r>
        <w:rPr>
          <w:bCs/>
          <w:b/>
        </w:rPr>
        <w:t xml:space="preserve">Approver:</w:t>
      </w:r>
      <w:r>
        <w:t xml:space="preserve"> </w:t>
      </w:r>
      <w:r>
        <w:t xml:space="preserve">Head of Projects</w:t>
      </w:r>
    </w:p>
    <w:bookmarkStart w:id="20"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Summary of Changes</w:t>
            </w:r>
          </w:p>
        </w:tc>
      </w:tr>
      <w:tr>
        <w:tc>
          <w:tcPr/>
          <w:p>
            <w:pPr>
              <w:pStyle w:val="Compact"/>
              <w:jc w:val="left"/>
            </w:pPr>
            <w:r>
              <w:t xml:space="preserve">1.0</w:t>
            </w:r>
          </w:p>
        </w:tc>
        <w:tc>
          <w:tcPr/>
          <w:p>
            <w:pPr>
              <w:pStyle w:val="Compact"/>
              <w:jc w:val="left"/>
            </w:pPr>
            <w:r>
              <w:t xml:space="preserve">2025-01-15</w:t>
            </w:r>
          </w:p>
        </w:tc>
        <w:tc>
          <w:tcPr/>
          <w:p>
            <w:pPr>
              <w:pStyle w:val="Compact"/>
              <w:jc w:val="left"/>
            </w:pPr>
            <w:r>
              <w:t xml:space="preserve">T. Bose (Projects)</w:t>
            </w:r>
          </w:p>
        </w:tc>
        <w:tc>
          <w:tcPr/>
          <w:p>
            <w:pPr>
              <w:pStyle w:val="Compact"/>
              <w:jc w:val="left"/>
            </w:pPr>
            <w:r>
              <w:t xml:space="preserve">Initial requirements draft</w:t>
            </w:r>
          </w:p>
        </w:tc>
      </w:tr>
      <w:tr>
        <w:tc>
          <w:tcPr/>
          <w:p>
            <w:pPr>
              <w:pStyle w:val="Compact"/>
              <w:jc w:val="left"/>
            </w:pPr>
            <w:r>
              <w:t xml:space="preserve">1.5</w:t>
            </w:r>
          </w:p>
        </w:tc>
        <w:tc>
          <w:tcPr/>
          <w:p>
            <w:pPr>
              <w:pStyle w:val="Compact"/>
              <w:jc w:val="left"/>
            </w:pPr>
            <w:r>
              <w:t xml:space="preserve">2025-05-22</w:t>
            </w:r>
          </w:p>
        </w:tc>
        <w:tc>
          <w:tcPr/>
          <w:p>
            <w:pPr>
              <w:pStyle w:val="Compact"/>
              <w:jc w:val="left"/>
            </w:pPr>
            <w:r>
              <w:t xml:space="preserve">T. Bose (Projects)</w:t>
            </w:r>
          </w:p>
        </w:tc>
        <w:tc>
          <w:tcPr/>
          <w:p>
            <w:pPr>
              <w:pStyle w:val="Compact"/>
              <w:jc w:val="left"/>
            </w:pPr>
            <w:r>
              <w:t xml:space="preserve">Added RAG pipeline requirements</w:t>
            </w:r>
          </w:p>
        </w:tc>
      </w:tr>
      <w:tr>
        <w:tc>
          <w:tcPr/>
          <w:p>
            <w:pPr>
              <w:pStyle w:val="Compact"/>
              <w:jc w:val="left"/>
            </w:pPr>
            <w:r>
              <w:t xml:space="preserve">2.0</w:t>
            </w:r>
          </w:p>
        </w:tc>
        <w:tc>
          <w:tcPr/>
          <w:p>
            <w:pPr>
              <w:pStyle w:val="Compact"/>
              <w:jc w:val="left"/>
            </w:pPr>
            <w:r>
              <w:t xml:space="preserve">2025-11-03</w:t>
            </w:r>
          </w:p>
        </w:tc>
        <w:tc>
          <w:tcPr/>
          <w:p>
            <w:pPr>
              <w:pStyle w:val="Compact"/>
              <w:jc w:val="left"/>
            </w:pPr>
            <w:r>
              <w:t xml:space="preserve">H. Nair (Projects)</w:t>
            </w:r>
          </w:p>
        </w:tc>
        <w:tc>
          <w:tcPr/>
          <w:p>
            <w:pPr>
              <w:pStyle w:val="Compact"/>
              <w:jc w:val="left"/>
            </w:pPr>
            <w:r>
              <w:t xml:space="preserve">Added non-functional requirements and Risk Register</w:t>
            </w:r>
          </w:p>
        </w:tc>
      </w:tr>
      <w:tr>
        <w:tc>
          <w:tcPr/>
          <w:p>
            <w:pPr>
              <w:pStyle w:val="Compact"/>
              <w:jc w:val="left"/>
            </w:pPr>
            <w:r>
              <w:t xml:space="preserve">2.3</w:t>
            </w:r>
          </w:p>
        </w:tc>
        <w:tc>
          <w:tcPr/>
          <w:p>
            <w:pPr>
              <w:pStyle w:val="Compact"/>
              <w:jc w:val="left"/>
            </w:pPr>
            <w:r>
              <w:t xml:space="preserve">2026-03-10</w:t>
            </w:r>
          </w:p>
        </w:tc>
        <w:tc>
          <w:tcPr/>
          <w:p>
            <w:pPr>
              <w:pStyle w:val="Compact"/>
              <w:jc w:val="left"/>
            </w:pPr>
            <w:r>
              <w:t xml:space="preserve">H. Nair (Projects)</w:t>
            </w:r>
          </w:p>
        </w:tc>
        <w:tc>
          <w:tcPr/>
          <w:p>
            <w:pPr>
              <w:pStyle w:val="Compact"/>
              <w:jc w:val="left"/>
            </w:pPr>
            <w:r>
              <w:t xml:space="preserve">Updated scope after Phase 2 client review</w:t>
            </w:r>
          </w:p>
        </w:tc>
      </w:tr>
    </w:tbl>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Project Alpha is Series Tech Ltd.’s flagship enterprise AI knowledge platform, designed to let large organizations search, summarize, and reason over their internal documents using Retrieval-Augmented Generation (RAG). This Requirements Specification defines the functional and non-functional requirements for Phase 2 of the project.</w:t>
      </w:r>
    </w:p>
    <w:bookmarkStart w:id="21" w:name="purpose"/>
    <w:p>
      <w:pPr>
        <w:pStyle w:val="Heading3"/>
      </w:pPr>
      <w:r>
        <w:t xml:space="preserve">1.1 Purpose</w:t>
      </w:r>
    </w:p>
    <w:p>
      <w:pPr>
        <w:pStyle w:val="FirstParagraph"/>
      </w:pPr>
      <w:r>
        <w:t xml:space="preserve">This document is the authoritative source of requirements for Project Alpha and is referenced by the Technical Design Document (STL-ALPHA-TDD-005) and the User Manual (STL-ALPHA-UM-006). It is used by Engineering, QA, and Architecture during sprint planning and acceptance testing.</w:t>
      </w:r>
    </w:p>
    <w:bookmarkEnd w:id="21"/>
    <w:bookmarkStart w:id="22" w:name="project-background"/>
    <w:p>
      <w:pPr>
        <w:pStyle w:val="Heading3"/>
      </w:pPr>
      <w:r>
        <w:t xml:space="preserve">1.2 Project Background</w:t>
      </w:r>
    </w:p>
    <w:p>
      <w:pPr>
        <w:pStyle w:val="FirstParagraph"/>
      </w:pPr>
      <w:r>
        <w:t xml:space="preserve">Enterprise clients approached SeriesTech seeking a way to make internal documentation — HR policies, engineering wikis, support tickets, and product manuals — searchable through natural-language queries rather than keyword search. Project Alpha was initiated in January 2025 to build a multi-tenant platform addressing this need.</w:t>
      </w:r>
    </w:p>
    <w:bookmarkEnd w:id="22"/>
    <w:bookmarkStart w:id="23" w:name="definitions"/>
    <w:p>
      <w:pPr>
        <w:pStyle w:val="Heading3"/>
      </w:pPr>
      <w:r>
        <w:t xml:space="preserve">1.3 Definitions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RAG</w:t>
            </w:r>
          </w:p>
        </w:tc>
        <w:tc>
          <w:tcPr/>
          <w:p>
            <w:pPr>
              <w:pStyle w:val="Compact"/>
              <w:jc w:val="left"/>
            </w:pPr>
            <w:r>
              <w:t xml:space="preserve">Retrieval-Augmented Generation — combining document retrieval with LLM generation</w:t>
            </w:r>
          </w:p>
        </w:tc>
      </w:tr>
      <w:tr>
        <w:tc>
          <w:tcPr/>
          <w:p>
            <w:pPr>
              <w:pStyle w:val="Compact"/>
              <w:jc w:val="left"/>
            </w:pPr>
            <w:r>
              <w:rPr>
                <w:bCs/>
                <w:b/>
              </w:rPr>
              <w:t xml:space="preserve">Tenant</w:t>
            </w:r>
          </w:p>
        </w:tc>
        <w:tc>
          <w:tcPr/>
          <w:p>
            <w:pPr>
              <w:pStyle w:val="Compact"/>
              <w:jc w:val="left"/>
            </w:pPr>
            <w:r>
              <w:t xml:space="preserve">A client organization onboarded to the Project Alpha platform</w:t>
            </w:r>
          </w:p>
        </w:tc>
      </w:tr>
      <w:tr>
        <w:tc>
          <w:tcPr/>
          <w:p>
            <w:pPr>
              <w:pStyle w:val="Compact"/>
              <w:jc w:val="left"/>
            </w:pPr>
            <w:r>
              <w:rPr>
                <w:bCs/>
                <w:b/>
              </w:rPr>
              <w:t xml:space="preserve">Embedding</w:t>
            </w:r>
          </w:p>
        </w:tc>
        <w:tc>
          <w:tcPr/>
          <w:p>
            <w:pPr>
              <w:pStyle w:val="Compact"/>
              <w:jc w:val="left"/>
            </w:pPr>
            <w:r>
              <w:t xml:space="preserve">Vector representation of text used for semantic search</w:t>
            </w:r>
          </w:p>
        </w:tc>
      </w:tr>
      <w:tr>
        <w:tc>
          <w:tcPr/>
          <w:p>
            <w:pPr>
              <w:pStyle w:val="Compact"/>
              <w:jc w:val="left"/>
            </w:pPr>
            <w:r>
              <w:rPr>
                <w:bCs/>
                <w:b/>
              </w:rPr>
              <w:t xml:space="preserve">Chunk</w:t>
            </w:r>
          </w:p>
        </w:tc>
        <w:tc>
          <w:tcPr/>
          <w:p>
            <w:pPr>
              <w:pStyle w:val="Compact"/>
              <w:jc w:val="left"/>
            </w:pPr>
            <w:r>
              <w:t xml:space="preserve">A segment of a document split for embedding and retrieval</w:t>
            </w:r>
          </w:p>
        </w:tc>
      </w:tr>
      <w:tr>
        <w:tc>
          <w:tcPr/>
          <w:p>
            <w:pPr>
              <w:pStyle w:val="Compact"/>
              <w:jc w:val="left"/>
            </w:pPr>
            <w:r>
              <w:rPr>
                <w:bCs/>
                <w:b/>
              </w:rPr>
              <w:t xml:space="preserve">Reranker</w:t>
            </w:r>
          </w:p>
        </w:tc>
        <w:tc>
          <w:tcPr/>
          <w:p>
            <w:pPr>
              <w:pStyle w:val="Compact"/>
              <w:jc w:val="left"/>
            </w:pPr>
            <w:r>
              <w:t xml:space="preserve">A model that reorders retrieved chunks by relevance before generation</w:t>
            </w:r>
          </w:p>
        </w:tc>
      </w:tr>
    </w:tbl>
    <w:p>
      <w:r>
        <w:pict>
          <v:rect style="width:0;height:1.5pt" o:hralign="center" o:hrstd="t" o:hr="t"/>
        </w:pict>
      </w:r>
    </w:p>
    <w:bookmarkEnd w:id="23"/>
    <w:bookmarkEnd w:id="24"/>
    <w:bookmarkStart w:id="27" w:name="scope"/>
    <w:p>
      <w:pPr>
        <w:pStyle w:val="Heading2"/>
      </w:pPr>
      <w:r>
        <w:t xml:space="preserve">2. Scope</w:t>
      </w:r>
    </w:p>
    <w:bookmarkStart w:id="25" w:name="in-scope-phase-2"/>
    <w:p>
      <w:pPr>
        <w:pStyle w:val="Heading3"/>
      </w:pPr>
      <w:r>
        <w:t xml:space="preserve">2.1 In Scope (Phase 2)</w:t>
      </w:r>
    </w:p>
    <w:p>
      <w:pPr>
        <w:numPr>
          <w:ilvl w:val="0"/>
          <w:numId w:val="1001"/>
        </w:numPr>
        <w:pStyle w:val="Compact"/>
      </w:pPr>
      <w:r>
        <w:t xml:space="preserve">Multi-tenant document ingestion pipeline supporting PDF, DOCX, and TXT formats</w:t>
      </w:r>
    </w:p>
    <w:p>
      <w:pPr>
        <w:numPr>
          <w:ilvl w:val="0"/>
          <w:numId w:val="1001"/>
        </w:numPr>
        <w:pStyle w:val="Compact"/>
      </w:pPr>
      <w:r>
        <w:t xml:space="preserve">Semantic search across ingested documents using ChromaDB as the primary vector store, with FAISS as a fallback for high-volume tenants</w:t>
      </w:r>
    </w:p>
    <w:p>
      <w:pPr>
        <w:numPr>
          <w:ilvl w:val="0"/>
          <w:numId w:val="1001"/>
        </w:numPr>
        <w:pStyle w:val="Compact"/>
      </w:pPr>
      <w:r>
        <w:t xml:space="preserve">Question-answering interface using LangChain orchestration with Llama models served via Ollama for on-premises deployments, and OpenAI APIs for cloud-hosted tenants who opt in</w:t>
      </w:r>
    </w:p>
    <w:p>
      <w:pPr>
        <w:numPr>
          <w:ilvl w:val="0"/>
          <w:numId w:val="1001"/>
        </w:numPr>
        <w:pStyle w:val="Compact"/>
      </w:pPr>
      <w:r>
        <w:t xml:space="preserve">Citation-based answers referencing source documents and page/section numbers</w:t>
      </w:r>
    </w:p>
    <w:p>
      <w:pPr>
        <w:numPr>
          <w:ilvl w:val="0"/>
          <w:numId w:val="1001"/>
        </w:numPr>
        <w:pStyle w:val="Compact"/>
      </w:pPr>
      <w:r>
        <w:t xml:space="preserve">Admin portal for tenant configuration, user management, and usage analytics</w:t>
      </w:r>
    </w:p>
    <w:bookmarkEnd w:id="25"/>
    <w:bookmarkStart w:id="26" w:name="out-of-scope-phase-2"/>
    <w:p>
      <w:pPr>
        <w:pStyle w:val="Heading3"/>
      </w:pPr>
      <w:r>
        <w:t xml:space="preserve">2.2 Out of Scope (Phase 2)</w:t>
      </w:r>
    </w:p>
    <w:p>
      <w:pPr>
        <w:numPr>
          <w:ilvl w:val="0"/>
          <w:numId w:val="1002"/>
        </w:numPr>
        <w:pStyle w:val="Compact"/>
      </w:pPr>
      <w:r>
        <w:t xml:space="preserve">Voice-based query interface (planned for Phase 3)</w:t>
      </w:r>
    </w:p>
    <w:p>
      <w:pPr>
        <w:numPr>
          <w:ilvl w:val="0"/>
          <w:numId w:val="1002"/>
        </w:numPr>
        <w:pStyle w:val="Compact"/>
      </w:pPr>
      <w:r>
        <w:t xml:space="preserve">Automatic translation of ingested documents (planned for Phase 3)</w:t>
      </w:r>
    </w:p>
    <w:p>
      <w:pPr>
        <w:numPr>
          <w:ilvl w:val="0"/>
          <w:numId w:val="1002"/>
        </w:numPr>
        <w:pStyle w:val="Compact"/>
      </w:pPr>
      <w:r>
        <w:t xml:space="preserve">Real-time collaborative document editing</w:t>
      </w:r>
    </w:p>
    <w:p>
      <w:r>
        <w:pict>
          <v:rect style="width:0;height:1.5pt" o:hralign="center" o:hrstd="t" o:hr="t"/>
        </w:pict>
      </w:r>
    </w:p>
    <w:bookmarkEnd w:id="26"/>
    <w:bookmarkEnd w:id="27"/>
    <w:bookmarkStart w:id="31" w:name="functional-requirements"/>
    <w:p>
      <w:pPr>
        <w:pStyle w:val="Heading2"/>
      </w:pPr>
      <w:r>
        <w:t xml:space="preserve">3. Functional Requirements</w:t>
      </w:r>
    </w:p>
    <w:bookmarkStart w:id="28" w:name="document-ingestion"/>
    <w:p>
      <w:pPr>
        <w:pStyle w:val="Heading3"/>
      </w:pPr>
      <w:r>
        <w:t xml:space="preserve">3.1 Document Ingestion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FR-101</w:t>
            </w:r>
          </w:p>
        </w:tc>
        <w:tc>
          <w:tcPr/>
          <w:p>
            <w:pPr>
              <w:pStyle w:val="Compact"/>
              <w:jc w:val="left"/>
            </w:pPr>
            <w:r>
              <w:t xml:space="preserve">System shall accept PDF, DOCX, and TXT uploads up to 50 MB per file</w:t>
            </w:r>
          </w:p>
        </w:tc>
        <w:tc>
          <w:tcPr/>
          <w:p>
            <w:pPr>
              <w:pStyle w:val="Compact"/>
              <w:jc w:val="left"/>
            </w:pPr>
            <w:r>
              <w:t xml:space="preserve">Must</w:t>
            </w:r>
          </w:p>
        </w:tc>
      </w:tr>
      <w:tr>
        <w:tc>
          <w:tcPr/>
          <w:p>
            <w:pPr>
              <w:pStyle w:val="Compact"/>
              <w:jc w:val="left"/>
            </w:pPr>
            <w:r>
              <w:t xml:space="preserve">FR-102</w:t>
            </w:r>
          </w:p>
        </w:tc>
        <w:tc>
          <w:tcPr/>
          <w:p>
            <w:pPr>
              <w:pStyle w:val="Compact"/>
              <w:jc w:val="left"/>
            </w:pPr>
            <w:r>
              <w:t xml:space="preserve">System shall extract text, tables, and metadata from uploaded documents</w:t>
            </w:r>
          </w:p>
        </w:tc>
        <w:tc>
          <w:tcPr/>
          <w:p>
            <w:pPr>
              <w:pStyle w:val="Compact"/>
              <w:jc w:val="left"/>
            </w:pPr>
            <w:r>
              <w:t xml:space="preserve">Must</w:t>
            </w:r>
          </w:p>
        </w:tc>
      </w:tr>
      <w:tr>
        <w:tc>
          <w:tcPr/>
          <w:p>
            <w:pPr>
              <w:pStyle w:val="Compact"/>
              <w:jc w:val="left"/>
            </w:pPr>
            <w:r>
              <w:t xml:space="preserve">FR-103</w:t>
            </w:r>
          </w:p>
        </w:tc>
        <w:tc>
          <w:tcPr/>
          <w:p>
            <w:pPr>
              <w:pStyle w:val="Compact"/>
              <w:jc w:val="left"/>
            </w:pPr>
            <w:r>
              <w:t xml:space="preserve">System shall chunk documents using a configurable chunk size (default 800 tokens, 100-token overlap)</w:t>
            </w:r>
          </w:p>
        </w:tc>
        <w:tc>
          <w:tcPr/>
          <w:p>
            <w:pPr>
              <w:pStyle w:val="Compact"/>
              <w:jc w:val="left"/>
            </w:pPr>
            <w:r>
              <w:t xml:space="preserve">Must</w:t>
            </w:r>
          </w:p>
        </w:tc>
      </w:tr>
      <w:tr>
        <w:tc>
          <w:tcPr/>
          <w:p>
            <w:pPr>
              <w:pStyle w:val="Compact"/>
              <w:jc w:val="left"/>
            </w:pPr>
            <w:r>
              <w:t xml:space="preserve">FR-104</w:t>
            </w:r>
          </w:p>
        </w:tc>
        <w:tc>
          <w:tcPr/>
          <w:p>
            <w:pPr>
              <w:pStyle w:val="Compact"/>
              <w:jc w:val="left"/>
            </w:pPr>
            <w:r>
              <w:t xml:space="preserve">System shall generate embeddings for each chunk using the tenant-configured embedding model</w:t>
            </w:r>
          </w:p>
        </w:tc>
        <w:tc>
          <w:tcPr/>
          <w:p>
            <w:pPr>
              <w:pStyle w:val="Compact"/>
              <w:jc w:val="left"/>
            </w:pPr>
            <w:r>
              <w:t xml:space="preserve">Must</w:t>
            </w:r>
          </w:p>
        </w:tc>
      </w:tr>
      <w:tr>
        <w:tc>
          <w:tcPr/>
          <w:p>
            <w:pPr>
              <w:pStyle w:val="Compact"/>
              <w:jc w:val="left"/>
            </w:pPr>
            <w:r>
              <w:t xml:space="preserve">FR-105</w:t>
            </w:r>
          </w:p>
        </w:tc>
        <w:tc>
          <w:tcPr/>
          <w:p>
            <w:pPr>
              <w:pStyle w:val="Compact"/>
              <w:jc w:val="left"/>
            </w:pPr>
            <w:r>
              <w:t xml:space="preserve">System shall store embeddings in ChromaDB collections isolated per tenant</w:t>
            </w:r>
          </w:p>
        </w:tc>
        <w:tc>
          <w:tcPr/>
          <w:p>
            <w:pPr>
              <w:pStyle w:val="Compact"/>
              <w:jc w:val="left"/>
            </w:pPr>
            <w:r>
              <w:t xml:space="preserve">Must</w:t>
            </w:r>
          </w:p>
        </w:tc>
      </w:tr>
      <w:tr>
        <w:tc>
          <w:tcPr/>
          <w:p>
            <w:pPr>
              <w:pStyle w:val="Compact"/>
              <w:jc w:val="left"/>
            </w:pPr>
            <w:r>
              <w:t xml:space="preserve">FR-106</w:t>
            </w:r>
          </w:p>
        </w:tc>
        <w:tc>
          <w:tcPr/>
          <w:p>
            <w:pPr>
              <w:pStyle w:val="Compact"/>
              <w:jc w:val="left"/>
            </w:pPr>
            <w:r>
              <w:t xml:space="preserve">System shall support re-ingestion of updated documents without duplicating existing chunks</w:t>
            </w:r>
          </w:p>
        </w:tc>
        <w:tc>
          <w:tcPr/>
          <w:p>
            <w:pPr>
              <w:pStyle w:val="Compact"/>
              <w:jc w:val="left"/>
            </w:pPr>
            <w:r>
              <w:t xml:space="preserve">Should</w:t>
            </w:r>
          </w:p>
        </w:tc>
      </w:tr>
    </w:tbl>
    <w:bookmarkEnd w:id="28"/>
    <w:bookmarkStart w:id="29" w:name="retrieval-and-generation"/>
    <w:p>
      <w:pPr>
        <w:pStyle w:val="Heading3"/>
      </w:pPr>
      <w:r>
        <w:t xml:space="preserve">3.2 Retrieval and Generation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FR-201</w:t>
            </w:r>
          </w:p>
        </w:tc>
        <w:tc>
          <w:tcPr/>
          <w:p>
            <w:pPr>
              <w:pStyle w:val="Compact"/>
              <w:jc w:val="left"/>
            </w:pPr>
            <w:r>
              <w:t xml:space="preserve">System shall retrieve the top-k relevant chunks (default k=8) for a given query</w:t>
            </w:r>
          </w:p>
        </w:tc>
        <w:tc>
          <w:tcPr/>
          <w:p>
            <w:pPr>
              <w:pStyle w:val="Compact"/>
              <w:jc w:val="left"/>
            </w:pPr>
            <w:r>
              <w:t xml:space="preserve">Must</w:t>
            </w:r>
          </w:p>
        </w:tc>
      </w:tr>
      <w:tr>
        <w:tc>
          <w:tcPr/>
          <w:p>
            <w:pPr>
              <w:pStyle w:val="Compact"/>
              <w:jc w:val="left"/>
            </w:pPr>
            <w:r>
              <w:t xml:space="preserve">FR-202</w:t>
            </w:r>
          </w:p>
        </w:tc>
        <w:tc>
          <w:tcPr/>
          <w:p>
            <w:pPr>
              <w:pStyle w:val="Compact"/>
              <w:jc w:val="left"/>
            </w:pPr>
            <w:r>
              <w:t xml:space="preserve">System shall apply a reranking step to reorder retrieved chunks before passing to the LLM</w:t>
            </w:r>
          </w:p>
        </w:tc>
        <w:tc>
          <w:tcPr/>
          <w:p>
            <w:pPr>
              <w:pStyle w:val="Compact"/>
              <w:jc w:val="left"/>
            </w:pPr>
            <w:r>
              <w:t xml:space="preserve">Must</w:t>
            </w:r>
          </w:p>
        </w:tc>
      </w:tr>
      <w:tr>
        <w:tc>
          <w:tcPr/>
          <w:p>
            <w:pPr>
              <w:pStyle w:val="Compact"/>
              <w:jc w:val="left"/>
            </w:pPr>
            <w:r>
              <w:t xml:space="preserve">FR-203</w:t>
            </w:r>
          </w:p>
        </w:tc>
        <w:tc>
          <w:tcPr/>
          <w:p>
            <w:pPr>
              <w:pStyle w:val="Compact"/>
              <w:jc w:val="left"/>
            </w:pPr>
            <w:r>
              <w:t xml:space="preserve">System shall generate answers using LangChain’s retrieval chain, invoking Llama 3 models via Ollama for on-prem tenants</w:t>
            </w:r>
          </w:p>
        </w:tc>
        <w:tc>
          <w:tcPr/>
          <w:p>
            <w:pPr>
              <w:pStyle w:val="Compact"/>
              <w:jc w:val="left"/>
            </w:pPr>
            <w:r>
              <w:t xml:space="preserve">Must</w:t>
            </w:r>
          </w:p>
        </w:tc>
      </w:tr>
      <w:tr>
        <w:tc>
          <w:tcPr/>
          <w:p>
            <w:pPr>
              <w:pStyle w:val="Compact"/>
              <w:jc w:val="left"/>
            </w:pPr>
            <w:r>
              <w:t xml:space="preserve">FR-204</w:t>
            </w:r>
          </w:p>
        </w:tc>
        <w:tc>
          <w:tcPr/>
          <w:p>
            <w:pPr>
              <w:pStyle w:val="Compact"/>
              <w:jc w:val="left"/>
            </w:pPr>
            <w:r>
              <w:t xml:space="preserve">System shall support OpenAI API as an alternative generation backend for tenants who opt in</w:t>
            </w:r>
          </w:p>
        </w:tc>
        <w:tc>
          <w:tcPr/>
          <w:p>
            <w:pPr>
              <w:pStyle w:val="Compact"/>
              <w:jc w:val="left"/>
            </w:pPr>
            <w:r>
              <w:t xml:space="preserve">Must</w:t>
            </w:r>
          </w:p>
        </w:tc>
      </w:tr>
      <w:tr>
        <w:tc>
          <w:tcPr/>
          <w:p>
            <w:pPr>
              <w:pStyle w:val="Compact"/>
              <w:jc w:val="left"/>
            </w:pPr>
            <w:r>
              <w:t xml:space="preserve">FR-205</w:t>
            </w:r>
          </w:p>
        </w:tc>
        <w:tc>
          <w:tcPr/>
          <w:p>
            <w:pPr>
              <w:pStyle w:val="Compact"/>
              <w:jc w:val="left"/>
            </w:pPr>
            <w:r>
              <w:t xml:space="preserve">System shall include citations (document name, section, page) in every generated answer</w:t>
            </w:r>
          </w:p>
        </w:tc>
        <w:tc>
          <w:tcPr/>
          <w:p>
            <w:pPr>
              <w:pStyle w:val="Compact"/>
              <w:jc w:val="left"/>
            </w:pPr>
            <w:r>
              <w:t xml:space="preserve">Must</w:t>
            </w:r>
          </w:p>
        </w:tc>
      </w:tr>
      <w:tr>
        <w:tc>
          <w:tcPr/>
          <w:p>
            <w:pPr>
              <w:pStyle w:val="Compact"/>
              <w:jc w:val="left"/>
            </w:pPr>
            <w:r>
              <w:t xml:space="preserve">FR-206</w:t>
            </w:r>
          </w:p>
        </w:tc>
        <w:tc>
          <w:tcPr/>
          <w:p>
            <w:pPr>
              <w:pStyle w:val="Compact"/>
              <w:jc w:val="left"/>
            </w:pPr>
            <w:r>
              <w:t xml:space="preserve">System shall flag low-confidence answers when retrieval similarity scores fall below a configurable threshold</w:t>
            </w:r>
          </w:p>
        </w:tc>
        <w:tc>
          <w:tcPr/>
          <w:p>
            <w:pPr>
              <w:pStyle w:val="Compact"/>
              <w:jc w:val="left"/>
            </w:pPr>
            <w:r>
              <w:t xml:space="preserve">Should</w:t>
            </w:r>
          </w:p>
        </w:tc>
      </w:tr>
    </w:tbl>
    <w:bookmarkEnd w:id="29"/>
    <w:bookmarkStart w:id="30" w:name="user-and-tenant-management"/>
    <w:p>
      <w:pPr>
        <w:pStyle w:val="Heading3"/>
      </w:pPr>
      <w:r>
        <w:t xml:space="preserve">3.3 User and Tenant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FR-301</w:t>
            </w:r>
          </w:p>
        </w:tc>
        <w:tc>
          <w:tcPr/>
          <w:p>
            <w:pPr>
              <w:pStyle w:val="Compact"/>
              <w:jc w:val="left"/>
            </w:pPr>
            <w:r>
              <w:t xml:space="preserve">System shall support tenant-level isolation of documents, users, and query logs</w:t>
            </w:r>
          </w:p>
        </w:tc>
        <w:tc>
          <w:tcPr/>
          <w:p>
            <w:pPr>
              <w:pStyle w:val="Compact"/>
              <w:jc w:val="left"/>
            </w:pPr>
            <w:r>
              <w:t xml:space="preserve">Must</w:t>
            </w:r>
          </w:p>
        </w:tc>
      </w:tr>
      <w:tr>
        <w:tc>
          <w:tcPr/>
          <w:p>
            <w:pPr>
              <w:pStyle w:val="Compact"/>
              <w:jc w:val="left"/>
            </w:pPr>
            <w:r>
              <w:t xml:space="preserve">FR-302</w:t>
            </w:r>
          </w:p>
        </w:tc>
        <w:tc>
          <w:tcPr/>
          <w:p>
            <w:pPr>
              <w:pStyle w:val="Compact"/>
              <w:jc w:val="left"/>
            </w:pPr>
            <w:r>
              <w:t xml:space="preserve">System shall support role-based access control with roles: Tenant Admin, Uploader, Viewer</w:t>
            </w:r>
          </w:p>
        </w:tc>
        <w:tc>
          <w:tcPr/>
          <w:p>
            <w:pPr>
              <w:pStyle w:val="Compact"/>
              <w:jc w:val="left"/>
            </w:pPr>
            <w:r>
              <w:t xml:space="preserve">Must</w:t>
            </w:r>
          </w:p>
        </w:tc>
      </w:tr>
      <w:tr>
        <w:tc>
          <w:tcPr/>
          <w:p>
            <w:pPr>
              <w:pStyle w:val="Compact"/>
              <w:jc w:val="left"/>
            </w:pPr>
            <w:r>
              <w:t xml:space="preserve">FR-303</w:t>
            </w:r>
          </w:p>
        </w:tc>
        <w:tc>
          <w:tcPr/>
          <w:p>
            <w:pPr>
              <w:pStyle w:val="Compact"/>
              <w:jc w:val="left"/>
            </w:pPr>
            <w:r>
              <w:t xml:space="preserve">System shall integrate with tenant SSO providers via OAuth 2.0</w:t>
            </w:r>
          </w:p>
        </w:tc>
        <w:tc>
          <w:tcPr/>
          <w:p>
            <w:pPr>
              <w:pStyle w:val="Compact"/>
              <w:jc w:val="left"/>
            </w:pPr>
            <w:r>
              <w:t xml:space="preserve">Should</w:t>
            </w:r>
          </w:p>
        </w:tc>
      </w:tr>
      <w:tr>
        <w:tc>
          <w:tcPr/>
          <w:p>
            <w:pPr>
              <w:pStyle w:val="Compact"/>
              <w:jc w:val="left"/>
            </w:pPr>
            <w:r>
              <w:t xml:space="preserve">FR-304</w:t>
            </w:r>
          </w:p>
        </w:tc>
        <w:tc>
          <w:tcPr/>
          <w:p>
            <w:pPr>
              <w:pStyle w:val="Compact"/>
              <w:jc w:val="left"/>
            </w:pPr>
            <w:r>
              <w:t xml:space="preserve">System shall provide an admin dashboard showing ingestion status, query volume, and top queries</w:t>
            </w:r>
          </w:p>
        </w:tc>
        <w:tc>
          <w:tcPr/>
          <w:p>
            <w:pPr>
              <w:pStyle w:val="Compact"/>
              <w:jc w:val="left"/>
            </w:pPr>
            <w:r>
              <w:t xml:space="preserve">Must</w:t>
            </w:r>
          </w:p>
        </w:tc>
      </w:tr>
    </w:tbl>
    <w:p>
      <w:r>
        <w:pict>
          <v:rect style="width:0;height:1.5pt" o:hralign="center" o:hrstd="t" o:hr="t"/>
        </w:pict>
      </w:r>
    </w:p>
    <w:bookmarkEnd w:id="30"/>
    <w:bookmarkEnd w:id="31"/>
    <w:bookmarkStart w:id="35" w:name="non-functional-requirements"/>
    <w:p>
      <w:pPr>
        <w:pStyle w:val="Heading2"/>
      </w:pPr>
      <w:r>
        <w:t xml:space="preserve">4. Non-Functional Requirements</w:t>
      </w:r>
    </w:p>
    <w:bookmarkStart w:id="32" w:name="performance"/>
    <w:p>
      <w:pPr>
        <w:pStyle w:val="Heading3"/>
      </w:pPr>
      <w:r>
        <w:t xml:space="preserve">4.1 Performance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NFR-101</w:t>
            </w:r>
          </w:p>
        </w:tc>
        <w:tc>
          <w:tcPr/>
          <w:p>
            <w:pPr>
              <w:pStyle w:val="Compact"/>
              <w:jc w:val="left"/>
            </w:pPr>
            <w:r>
              <w:t xml:space="preserve">Query response time (p95)</w:t>
            </w:r>
          </w:p>
        </w:tc>
        <w:tc>
          <w:tcPr/>
          <w:p>
            <w:pPr>
              <w:pStyle w:val="Compact"/>
              <w:jc w:val="left"/>
            </w:pPr>
            <w:r>
              <w:t xml:space="preserve">Under 4 seconds for cloud-hosted tenants</w:t>
            </w:r>
          </w:p>
        </w:tc>
      </w:tr>
      <w:tr>
        <w:tc>
          <w:tcPr/>
          <w:p>
            <w:pPr>
              <w:pStyle w:val="Compact"/>
              <w:jc w:val="left"/>
            </w:pPr>
            <w:r>
              <w:t xml:space="preserve">NFR-102</w:t>
            </w:r>
          </w:p>
        </w:tc>
        <w:tc>
          <w:tcPr/>
          <w:p>
            <w:pPr>
              <w:pStyle w:val="Compact"/>
              <w:jc w:val="left"/>
            </w:pPr>
            <w:r>
              <w:t xml:space="preserve">Query response time (p95), on-prem Ollama deployment</w:t>
            </w:r>
          </w:p>
        </w:tc>
        <w:tc>
          <w:tcPr/>
          <w:p>
            <w:pPr>
              <w:pStyle w:val="Compact"/>
              <w:jc w:val="left"/>
            </w:pPr>
            <w:r>
              <w:t xml:space="preserve">Under 8 seconds</w:t>
            </w:r>
          </w:p>
        </w:tc>
      </w:tr>
      <w:tr>
        <w:tc>
          <w:tcPr/>
          <w:p>
            <w:pPr>
              <w:pStyle w:val="Compact"/>
              <w:jc w:val="left"/>
            </w:pPr>
            <w:r>
              <w:t xml:space="preserve">NFR-103</w:t>
            </w:r>
          </w:p>
        </w:tc>
        <w:tc>
          <w:tcPr/>
          <w:p>
            <w:pPr>
              <w:pStyle w:val="Compact"/>
              <w:jc w:val="left"/>
            </w:pPr>
            <w:r>
              <w:t xml:space="preserve">Document ingestion throughput</w:t>
            </w:r>
          </w:p>
        </w:tc>
        <w:tc>
          <w:tcPr/>
          <w:p>
            <w:pPr>
              <w:pStyle w:val="Compact"/>
              <w:jc w:val="left"/>
            </w:pPr>
            <w:r>
              <w:t xml:space="preserve">100 pages per minute per worker</w:t>
            </w:r>
          </w:p>
        </w:tc>
      </w:tr>
      <w:tr>
        <w:tc>
          <w:tcPr/>
          <w:p>
            <w:pPr>
              <w:pStyle w:val="Compact"/>
              <w:jc w:val="left"/>
            </w:pPr>
            <w:r>
              <w:t xml:space="preserve">NFR-104</w:t>
            </w:r>
          </w:p>
        </w:tc>
        <w:tc>
          <w:tcPr/>
          <w:p>
            <w:pPr>
              <w:pStyle w:val="Compact"/>
              <w:jc w:val="left"/>
            </w:pPr>
            <w:r>
              <w:t xml:space="preserve">Concurrent query capacity per tenant</w:t>
            </w:r>
          </w:p>
        </w:tc>
        <w:tc>
          <w:tcPr/>
          <w:p>
            <w:pPr>
              <w:pStyle w:val="Compact"/>
              <w:jc w:val="left"/>
            </w:pPr>
            <w:r>
              <w:t xml:space="preserve">50 concurrent users</w:t>
            </w:r>
          </w:p>
        </w:tc>
      </w:tr>
    </w:tbl>
    <w:bookmarkEnd w:id="32"/>
    <w:bookmarkStart w:id="33" w:name="security-and-compliance"/>
    <w:p>
      <w:pPr>
        <w:pStyle w:val="Heading3"/>
      </w:pPr>
      <w:r>
        <w:t xml:space="preserve">4.2 Security and Compliance</w:t>
      </w:r>
    </w:p>
    <w:p>
      <w:pPr>
        <w:pStyle w:val="FirstParagraph"/>
      </w:pPr>
      <w:r>
        <w:t xml:space="preserve">Project Alpha must comply with the Data Protection standards in the IT Security &amp; Infrastructure Guide (STL-IT-SEC-002), including tenant data isolation, encryption at rest (AES-256) and in transit (TLS 1.2+), and JWT-based API authentication as defined in the Engineering Standards (STL-ENG-STD-003), Section 8.3.</w:t>
      </w:r>
    </w:p>
    <w:bookmarkEnd w:id="33"/>
    <w:bookmarkStart w:id="34" w:name="availability"/>
    <w:p>
      <w:pPr>
        <w:pStyle w:val="Heading3"/>
      </w:pPr>
      <w:r>
        <w:t xml:space="preserve">4.3 Availability</w:t>
      </w:r>
    </w:p>
    <w:p>
      <w:pPr>
        <w:pStyle w:val="FirstParagraph"/>
      </w:pPr>
      <w:r>
        <w:t xml:space="preserve">The platform shall target 99.5% uptime for cloud-hosted tenants, measured monthly, with planned maintenance windows communicated at least 5 business days in advance.</w:t>
      </w:r>
    </w:p>
    <w:p>
      <w:r>
        <w:pict>
          <v:rect style="width:0;height:1.5pt" o:hralign="center" o:hrstd="t" o:hr="t"/>
        </w:pict>
      </w:r>
    </w:p>
    <w:bookmarkEnd w:id="34"/>
    <w:bookmarkEnd w:id="35"/>
    <w:bookmarkStart w:id="36" w:name="risk-register"/>
    <w:p>
      <w:pPr>
        <w:pStyle w:val="Heading2"/>
      </w:pPr>
      <w:r>
        <w:t xml:space="preserve">5.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R-01</w:t>
            </w:r>
          </w:p>
        </w:tc>
        <w:tc>
          <w:tcPr/>
          <w:p>
            <w:pPr>
              <w:pStyle w:val="Compact"/>
              <w:jc w:val="left"/>
            </w:pPr>
            <w:r>
              <w:t xml:space="preserve">Embedding drift causing degraded retrieval quality over time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Quarterly re-embedding evaluation, monitored via retrieval precision metrics</w:t>
            </w:r>
          </w:p>
        </w:tc>
      </w:tr>
      <w:tr>
        <w:tc>
          <w:tcPr/>
          <w:p>
            <w:pPr>
              <w:pStyle w:val="Compact"/>
              <w:jc w:val="left"/>
            </w:pPr>
            <w:r>
              <w:t xml:space="preserve">R-02</w:t>
            </w:r>
          </w:p>
        </w:tc>
        <w:tc>
          <w:tcPr/>
          <w:p>
            <w:pPr>
              <w:pStyle w:val="Compact"/>
              <w:jc w:val="left"/>
            </w:pPr>
            <w:r>
              <w:t xml:space="preserve">On-prem Ollama deployments underperforming on large tenant document sets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Provide GPU sizing guidance and fallback to cloud generation for large tenants</w:t>
            </w:r>
          </w:p>
        </w:tc>
      </w:tr>
      <w:tr>
        <w:tc>
          <w:tcPr/>
          <w:p>
            <w:pPr>
              <w:pStyle w:val="Compact"/>
              <w:jc w:val="left"/>
            </w:pPr>
            <w:r>
              <w:t xml:space="preserve">R-03</w:t>
            </w:r>
          </w:p>
        </w:tc>
        <w:tc>
          <w:tcPr/>
          <w:p>
            <w:pPr>
              <w:pStyle w:val="Compact"/>
              <w:jc w:val="left"/>
            </w:pPr>
            <w:r>
              <w:t xml:space="preserve">Tenant data leakage across ChromaDB collections due to misconfiguration</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Automated isolation tests in CI, mandatory Architecture review for schema changes</w:t>
            </w:r>
          </w:p>
        </w:tc>
      </w:tr>
      <w:tr>
        <w:tc>
          <w:tcPr/>
          <w:p>
            <w:pPr>
              <w:pStyle w:val="Compact"/>
              <w:jc w:val="left"/>
            </w:pPr>
            <w:r>
              <w:t xml:space="preserve">R-04</w:t>
            </w:r>
          </w:p>
        </w:tc>
        <w:tc>
          <w:tcPr/>
          <w:p>
            <w:pPr>
              <w:pStyle w:val="Compact"/>
              <w:jc w:val="left"/>
            </w:pPr>
            <w:r>
              <w:t xml:space="preserve">LLM hallucination in generated answers despite retrieval grounding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Mandatory citation display, confidence flagging (FR-206), user feedback loop</w:t>
            </w:r>
          </w:p>
        </w:tc>
      </w:tr>
      <w:tr>
        <w:tc>
          <w:tcPr/>
          <w:p>
            <w:pPr>
              <w:pStyle w:val="Compact"/>
              <w:jc w:val="left"/>
            </w:pPr>
            <w:r>
              <w:t xml:space="preserve">R-05</w:t>
            </w:r>
          </w:p>
        </w:tc>
        <w:tc>
          <w:tcPr/>
          <w:p>
            <w:pPr>
              <w:pStyle w:val="Compact"/>
              <w:jc w:val="left"/>
            </w:pPr>
            <w:r>
              <w:t xml:space="preserve">Delayed client onboarding due to document format inconsistencies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Support PDF/DOCX/TXT robustly, provide ingestion validation reports to clients</w:t>
            </w:r>
          </w:p>
        </w:tc>
      </w:tr>
    </w:tbl>
    <w:p>
      <w:r>
        <w:pict>
          <v:rect style="width:0;height:1.5pt" o:hralign="center" o:hrstd="t" o:hr="t"/>
        </w:pict>
      </w:r>
    </w:p>
    <w:bookmarkEnd w:id="36"/>
    <w:bookmarkStart w:id="39" w:name="acceptance-criteria"/>
    <w:p>
      <w:pPr>
        <w:pStyle w:val="Heading2"/>
      </w:pPr>
      <w:r>
        <w:t xml:space="preserve">6. Acceptance Criteria</w:t>
      </w:r>
    </w:p>
    <w:bookmarkStart w:id="37" w:name="sample-acceptance-scenario"/>
    <w:p>
      <w:pPr>
        <w:pStyle w:val="Heading3"/>
      </w:pPr>
      <w:r>
        <w:t xml:space="preserve">6.1 Sample Acceptance Scenario</w:t>
      </w:r>
    </w:p>
    <w:p>
      <w:pPr>
        <w:pStyle w:val="FirstParagraph"/>
      </w:pPr>
      <w:r>
        <w:rPr>
          <w:bCs/>
          <w:b/>
        </w:rPr>
        <w:t xml:space="preserve">Example:</w:t>
      </w:r>
      <w:r>
        <w:t xml:space="preserve"> </w:t>
      </w:r>
      <w:r>
        <w:t xml:space="preserve">Given a tenant has uploaded the SeriesTech Engineering Standards document, when a user queries</w:t>
      </w:r>
      <w:r>
        <w:t xml:space="preserve"> </w:t>
      </w:r>
      <w:r>
        <w:t xml:space="preserve">“</w:t>
      </w:r>
      <w:r>
        <w:t xml:space="preserve">What is the required test coverage for new modules?</w:t>
      </w:r>
      <w:r>
        <w:t xml:space="preserve">”</w:t>
      </w:r>
      <w:r>
        <w:t xml:space="preserve">, the system shall return an answer citing Engineering Standards Section 7.1, stating the 80% minimum coverage requirement, within 4 seconds.</w:t>
      </w:r>
    </w:p>
    <w:bookmarkEnd w:id="37"/>
    <w:bookmarkStart w:id="38" w:name="sign-off-workflow"/>
    <w:p>
      <w:pPr>
        <w:pStyle w:val="Heading3"/>
      </w:pPr>
      <w:r>
        <w:t xml:space="preserve">6.2 Sign-Off Workflow</w:t>
      </w:r>
    </w:p>
    <w:p>
      <w:pPr>
        <w:pStyle w:val="SourceCode"/>
      </w:pPr>
      <w:r>
        <w:rPr>
          <w:rStyle w:val="VerbatimChar"/>
        </w:rPr>
        <w:t xml:space="preserve">Requirements drafted by Product Owner</w:t>
      </w:r>
      <w:r>
        <w:br/>
      </w:r>
      <w:r>
        <w:rPr>
          <w:rStyle w:val="VerbatimChar"/>
        </w:rPr>
        <w:t xml:space="preserve">        ↓</w:t>
      </w:r>
      <w:r>
        <w:br/>
      </w:r>
      <w:r>
        <w:rPr>
          <w:rStyle w:val="VerbatimChar"/>
        </w:rPr>
        <w:t xml:space="preserve">Reviewed by Engineering and QA leads</w:t>
      </w:r>
      <w:r>
        <w:br/>
      </w:r>
      <w:r>
        <w:rPr>
          <w:rStyle w:val="VerbatimChar"/>
        </w:rPr>
        <w:t xml:space="preserve">        ↓</w:t>
      </w:r>
      <w:r>
        <w:br/>
      </w:r>
      <w:r>
        <w:rPr>
          <w:rStyle w:val="VerbatimChar"/>
        </w:rPr>
        <w:t xml:space="preserve">Approved by Head of Projects</w:t>
      </w:r>
      <w:r>
        <w:br/>
      </w:r>
      <w:r>
        <w:rPr>
          <w:rStyle w:val="VerbatimChar"/>
        </w:rPr>
        <w:t xml:space="preserve">        ↓</w:t>
      </w:r>
      <w:r>
        <w:br/>
      </w:r>
      <w:r>
        <w:rPr>
          <w:rStyle w:val="VerbatimChar"/>
        </w:rPr>
        <w:t xml:space="preserve">Baseline requirements shared with client stakeholders</w:t>
      </w:r>
      <w:r>
        <w:br/>
      </w:r>
      <w:r>
        <w:rPr>
          <w:rStyle w:val="VerbatimChar"/>
        </w:rPr>
        <w:t xml:space="preserve">        ↓</w:t>
      </w:r>
      <w:r>
        <w:br/>
      </w:r>
      <w:r>
        <w:rPr>
          <w:rStyle w:val="VerbatimChar"/>
        </w:rPr>
        <w:t xml:space="preserve">Change requests tracked via Jira, re-reviewed each sprint</w:t>
      </w:r>
    </w:p>
    <w:p>
      <w:r>
        <w:pict>
          <v:rect style="width:0;height:1.5pt" o:hralign="center" o:hrstd="t" o:hr="t"/>
        </w:pict>
      </w:r>
    </w:p>
    <w:bookmarkEnd w:id="38"/>
    <w:bookmarkEnd w:id="39"/>
    <w:bookmarkStart w:id="42" w:name="a.-stakeholders"/>
    <w:p>
      <w:pPr>
        <w:pStyle w:val="Heading2"/>
      </w:pPr>
      <w:r>
        <w:t xml:space="preserve">6A. Stakeholders</w:t>
      </w:r>
    </w:p>
    <w:bookmarkStart w:id="40" w:name="a.1-stakeholder-table"/>
    <w:p>
      <w:pPr>
        <w:pStyle w:val="Heading3"/>
      </w:pPr>
      <w:r>
        <w:t xml:space="preserve">6A.1 Stakeholder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Role</w:t>
            </w:r>
          </w:p>
        </w:tc>
        <w:tc>
          <w:tcPr/>
          <w:p>
            <w:pPr>
              <w:pStyle w:val="Compact"/>
              <w:jc w:val="left"/>
            </w:pPr>
            <w:r>
              <w:t xml:space="preserve">Interest</w:t>
            </w:r>
          </w:p>
        </w:tc>
      </w:tr>
      <w:tr>
        <w:tc>
          <w:tcPr/>
          <w:p>
            <w:pPr>
              <w:pStyle w:val="Compact"/>
              <w:jc w:val="left"/>
            </w:pPr>
            <w:r>
              <w:t xml:space="preserve">Client Tenant Admins</w:t>
            </w:r>
          </w:p>
        </w:tc>
        <w:tc>
          <w:tcPr/>
          <w:p>
            <w:pPr>
              <w:pStyle w:val="Compact"/>
              <w:jc w:val="left"/>
            </w:pPr>
            <w:r>
              <w:t xml:space="preserve">Configure and manage the platform</w:t>
            </w:r>
          </w:p>
        </w:tc>
        <w:tc>
          <w:tcPr/>
          <w:p>
            <w:pPr>
              <w:pStyle w:val="Compact"/>
              <w:jc w:val="left"/>
            </w:pPr>
            <w:r>
              <w:t xml:space="preserve">Ease of use, reliable ingestion</w:t>
            </w:r>
          </w:p>
        </w:tc>
      </w:tr>
      <w:tr>
        <w:tc>
          <w:tcPr/>
          <w:p>
            <w:pPr>
              <w:pStyle w:val="Compact"/>
              <w:jc w:val="left"/>
            </w:pPr>
            <w:r>
              <w:t xml:space="preserve">Client End Users</w:t>
            </w:r>
          </w:p>
        </w:tc>
        <w:tc>
          <w:tcPr/>
          <w:p>
            <w:pPr>
              <w:pStyle w:val="Compact"/>
              <w:jc w:val="left"/>
            </w:pPr>
            <w:r>
              <w:t xml:space="preserve">Submit queries</w:t>
            </w:r>
          </w:p>
        </w:tc>
        <w:tc>
          <w:tcPr/>
          <w:p>
            <w:pPr>
              <w:pStyle w:val="Compact"/>
              <w:jc w:val="left"/>
            </w:pPr>
            <w:r>
              <w:t xml:space="preserve">Fast, accurate, well-cited answers</w:t>
            </w:r>
          </w:p>
        </w:tc>
      </w:tr>
      <w:tr>
        <w:tc>
          <w:tcPr/>
          <w:p>
            <w:pPr>
              <w:pStyle w:val="Compact"/>
              <w:jc w:val="left"/>
            </w:pPr>
            <w:r>
              <w:t xml:space="preserve">SeriesTech Product Owner</w:t>
            </w:r>
          </w:p>
        </w:tc>
        <w:tc>
          <w:tcPr/>
          <w:p>
            <w:pPr>
              <w:pStyle w:val="Compact"/>
              <w:jc w:val="left"/>
            </w:pPr>
            <w:r>
              <w:t xml:space="preserve">Owns requirements and roadmap</w:t>
            </w:r>
          </w:p>
        </w:tc>
        <w:tc>
          <w:tcPr/>
          <w:p>
            <w:pPr>
              <w:pStyle w:val="Compact"/>
              <w:jc w:val="left"/>
            </w:pPr>
            <w:r>
              <w:t xml:space="preserve">Feature delivery aligned to client needs</w:t>
            </w:r>
          </w:p>
        </w:tc>
      </w:tr>
      <w:tr>
        <w:tc>
          <w:tcPr/>
          <w:p>
            <w:pPr>
              <w:pStyle w:val="Compact"/>
              <w:jc w:val="left"/>
            </w:pPr>
            <w:r>
              <w:t xml:space="preserve">SeriesTech Engineering</w:t>
            </w:r>
          </w:p>
        </w:tc>
        <w:tc>
          <w:tcPr/>
          <w:p>
            <w:pPr>
              <w:pStyle w:val="Compact"/>
              <w:jc w:val="left"/>
            </w:pPr>
            <w:r>
              <w:t xml:space="preserve">Builds the platform</w:t>
            </w:r>
          </w:p>
        </w:tc>
        <w:tc>
          <w:tcPr/>
          <w:p>
            <w:pPr>
              <w:pStyle w:val="Compact"/>
              <w:jc w:val="left"/>
            </w:pPr>
            <w:r>
              <w:t xml:space="preserve">Clear, testable requirements</w:t>
            </w:r>
          </w:p>
        </w:tc>
      </w:tr>
      <w:tr>
        <w:tc>
          <w:tcPr/>
          <w:p>
            <w:pPr>
              <w:pStyle w:val="Compact"/>
              <w:jc w:val="left"/>
            </w:pPr>
            <w:r>
              <w:t xml:space="preserve">SeriesTech Customer Support</w:t>
            </w:r>
          </w:p>
        </w:tc>
        <w:tc>
          <w:tcPr/>
          <w:p>
            <w:pPr>
              <w:pStyle w:val="Compact"/>
              <w:jc w:val="left"/>
            </w:pPr>
            <w:r>
              <w:t xml:space="preserve">Supports client tenants</w:t>
            </w:r>
          </w:p>
        </w:tc>
        <w:tc>
          <w:tcPr/>
          <w:p>
            <w:pPr>
              <w:pStyle w:val="Compact"/>
              <w:jc w:val="left"/>
            </w:pPr>
            <w:r>
              <w:t xml:space="preserve">Documented troubleshooting paths</w:t>
            </w:r>
          </w:p>
        </w:tc>
      </w:tr>
      <w:tr>
        <w:tc>
          <w:tcPr/>
          <w:p>
            <w:pPr>
              <w:pStyle w:val="Compact"/>
              <w:jc w:val="left"/>
            </w:pPr>
            <w:r>
              <w:t xml:space="preserve">SeriesTech Architecture</w:t>
            </w:r>
          </w:p>
        </w:tc>
        <w:tc>
          <w:tcPr/>
          <w:p>
            <w:pPr>
              <w:pStyle w:val="Compact"/>
              <w:jc w:val="left"/>
            </w:pPr>
            <w:r>
              <w:t xml:space="preserve">Governs technical design</w:t>
            </w:r>
          </w:p>
        </w:tc>
        <w:tc>
          <w:tcPr/>
          <w:p>
            <w:pPr>
              <w:pStyle w:val="Compact"/>
              <w:jc w:val="left"/>
            </w:pPr>
            <w:r>
              <w:t xml:space="preserve">Requirements that respect isolation and scalability constraints</w:t>
            </w:r>
          </w:p>
        </w:tc>
      </w:tr>
    </w:tbl>
    <w:bookmarkEnd w:id="40"/>
    <w:bookmarkStart w:id="41" w:name="a.2-reporting-and-governance"/>
    <w:p>
      <w:pPr>
        <w:pStyle w:val="Heading3"/>
      </w:pPr>
      <w:r>
        <w:t xml:space="preserve">6A.2 Reporting and Governance</w:t>
      </w:r>
    </w:p>
    <w:p>
      <w:pPr>
        <w:pStyle w:val="FirstParagraph"/>
      </w:pPr>
      <w:r>
        <w:t xml:space="preserve">Requirements status is reviewed in the bi-weekly Project Alpha Steering Committee, chaired by the Head of Projects, with representation from Engineering, QA, Architecture, and Customer Support. Change requests originating from client feedback are logged in Jira under the</w:t>
      </w:r>
      <w:r>
        <w:t xml:space="preserve"> </w:t>
      </w:r>
      <w:r>
        <w:rPr>
          <w:rStyle w:val="VerbatimChar"/>
        </w:rPr>
        <w:t xml:space="preserve">ALPHA-REQ</w:t>
      </w:r>
      <w:r>
        <w:t xml:space="preserve"> </w:t>
      </w:r>
      <w:r>
        <w:t xml:space="preserve">epic and triaged before each sprint planning session.</w:t>
      </w:r>
    </w:p>
    <w:bookmarkEnd w:id="41"/>
    <w:bookmarkEnd w:id="42"/>
    <w:bookmarkStart w:id="45" w:name="b.-assumptions-and-constraints"/>
    <w:p>
      <w:pPr>
        <w:pStyle w:val="Heading2"/>
      </w:pPr>
      <w:r>
        <w:t xml:space="preserve">6B. Assumptions and Constraints</w:t>
      </w:r>
    </w:p>
    <w:bookmarkStart w:id="43" w:name="b.1-assumptions"/>
    <w:p>
      <w:pPr>
        <w:pStyle w:val="Heading3"/>
      </w:pPr>
      <w:r>
        <w:t xml:space="preserve">6B.1 Assumptions</w:t>
      </w:r>
    </w:p>
    <w:p>
      <w:pPr>
        <w:numPr>
          <w:ilvl w:val="0"/>
          <w:numId w:val="1003"/>
        </w:numPr>
        <w:pStyle w:val="Compact"/>
      </w:pPr>
      <w:r>
        <w:t xml:space="preserve">Client tenants will provide documents primarily in PDF, DOCX, or TXT formats; scanned image-only PDFs require OCR pre-processing outside the platform’s Phase 2 scope.</w:t>
      </w:r>
    </w:p>
    <w:p>
      <w:pPr>
        <w:numPr>
          <w:ilvl w:val="0"/>
          <w:numId w:val="1003"/>
        </w:numPr>
        <w:pStyle w:val="Compact"/>
      </w:pPr>
      <w:r>
        <w:t xml:space="preserve">Client tenants opting for on-premises Ollama deployment will provide GPU-equipped infrastructure meeting the sizing guidance in the Technical Design Document (STL-ALPHA-TDD-005), Section 6.3.</w:t>
      </w:r>
    </w:p>
    <w:p>
      <w:pPr>
        <w:numPr>
          <w:ilvl w:val="0"/>
          <w:numId w:val="1003"/>
        </w:numPr>
        <w:pStyle w:val="Compact"/>
      </w:pPr>
      <w:r>
        <w:t xml:space="preserve">Client organizational structures map reasonably to the platform’s single-tenant-per-organization model; complex multi-subsidiary tenancy is out of scope for Phase 2.</w:t>
      </w:r>
    </w:p>
    <w:bookmarkEnd w:id="43"/>
    <w:bookmarkStart w:id="44" w:name="b.2-constraints"/>
    <w:p>
      <w:pPr>
        <w:pStyle w:val="Heading3"/>
      </w:pPr>
      <w:r>
        <w:t xml:space="preserve">6B.2 Constraints</w:t>
      </w:r>
    </w:p>
    <w:p>
      <w:pPr>
        <w:numPr>
          <w:ilvl w:val="0"/>
          <w:numId w:val="1004"/>
        </w:numPr>
        <w:pStyle w:val="Compact"/>
      </w:pPr>
      <w:r>
        <w:t xml:space="preserve">All client data must remain within the data residency region specified in the client contract, constraining infrastructure choices between Azure and AWS regions.</w:t>
      </w:r>
    </w:p>
    <w:p>
      <w:pPr>
        <w:numPr>
          <w:ilvl w:val="0"/>
          <w:numId w:val="1004"/>
        </w:numPr>
        <w:pStyle w:val="Compact"/>
      </w:pPr>
      <w:r>
        <w:t xml:space="preserve">Third-party LLM usage (OpenAI APIs) is only permitted for tenants who have explicitly opted in and signed the relevant data processing addendum.</w:t>
      </w:r>
    </w:p>
    <w:bookmarkEnd w:id="44"/>
    <w:bookmarkEnd w:id="45"/>
    <w:bookmarkStart w:id="46" w:name="Xd6b472c5288b53ae4c10e8b3cf297eb4e8e84cc"/>
    <w:p>
      <w:pPr>
        <w:pStyle w:val="Heading2"/>
      </w:pPr>
      <w:r>
        <w:t xml:space="preserve">6C. Glossary of Frequently Referenced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Retrieval Precision</w:t>
            </w:r>
          </w:p>
        </w:tc>
        <w:tc>
          <w:tcPr/>
          <w:p>
            <w:pPr>
              <w:pStyle w:val="Compact"/>
              <w:jc w:val="left"/>
            </w:pPr>
            <w:r>
              <w:t xml:space="preserve">Proportion of retrieved chunks judged relevant by human reviewers in the RAG Quality Evaluation suite</w:t>
            </w:r>
          </w:p>
        </w:tc>
      </w:tr>
      <w:tr>
        <w:tc>
          <w:tcPr/>
          <w:p>
            <w:pPr>
              <w:pStyle w:val="Compact"/>
              <w:jc w:val="left"/>
            </w:pPr>
            <w:r>
              <w:t xml:space="preserve">Citation Accuracy</w:t>
            </w:r>
          </w:p>
        </w:tc>
        <w:tc>
          <w:tcPr/>
          <w:p>
            <w:pPr>
              <w:pStyle w:val="Compact"/>
              <w:jc w:val="left"/>
            </w:pPr>
            <w:r>
              <w:t xml:space="preserve">Proportion of generated citations that correctly reference the supporting source content</w:t>
            </w:r>
          </w:p>
        </w:tc>
      </w:tr>
      <w:tr>
        <w:tc>
          <w:tcPr/>
          <w:p>
            <w:pPr>
              <w:pStyle w:val="Compact"/>
              <w:jc w:val="left"/>
            </w:pPr>
            <w:r>
              <w:t xml:space="preserve">Answer Faithfulness</w:t>
            </w:r>
          </w:p>
        </w:tc>
        <w:tc>
          <w:tcPr/>
          <w:p>
            <w:pPr>
              <w:pStyle w:val="Compact"/>
              <w:jc w:val="left"/>
            </w:pPr>
            <w:r>
              <w:t xml:space="preserve">Degree to which a generated answer is fully supported by retrieved context, without unsupported claims</w:t>
            </w:r>
          </w:p>
        </w:tc>
      </w:tr>
    </w:tbl>
    <w:bookmarkEnd w:id="46"/>
    <w:bookmarkStart w:id="47" w:name="internal-contacts"/>
    <w:p>
      <w:pPr>
        <w:pStyle w:val="Heading2"/>
      </w:pPr>
      <w:r>
        <w:t xml:space="preserve">7. Internal Contacts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Contact</w:t>
            </w:r>
          </w:p>
        </w:tc>
      </w:tr>
      <w:tr>
        <w:tc>
          <w:tcPr/>
          <w:p>
            <w:pPr>
              <w:pStyle w:val="Compact"/>
              <w:jc w:val="left"/>
            </w:pPr>
            <w:r>
              <w:t xml:space="preserve">Project Alpha Product Owner</w:t>
            </w:r>
          </w:p>
        </w:tc>
        <w:tc>
          <w:tcPr/>
          <w:p>
            <w:pPr>
              <w:pStyle w:val="Compact"/>
              <w:jc w:val="left"/>
            </w:pPr>
            <w:r>
              <w:t xml:space="preserve">alpha-product@seriestech.com</w:t>
            </w:r>
          </w:p>
        </w:tc>
      </w:tr>
      <w:tr>
        <w:tc>
          <w:tcPr/>
          <w:p>
            <w:pPr>
              <w:pStyle w:val="Compact"/>
              <w:jc w:val="left"/>
            </w:pPr>
            <w:r>
              <w:t xml:space="preserve">Requirements Change Requests</w:t>
            </w:r>
          </w:p>
        </w:tc>
        <w:tc>
          <w:tcPr/>
          <w:p>
            <w:pPr>
              <w:pStyle w:val="Compact"/>
              <w:jc w:val="left"/>
            </w:pPr>
            <w:r>
              <w:t xml:space="preserve">alpha-changes@seriestech.com</w:t>
            </w:r>
          </w:p>
        </w:tc>
      </w:tr>
      <w:tr>
        <w:tc>
          <w:tcPr/>
          <w:p>
            <w:pPr>
              <w:pStyle w:val="Compact"/>
              <w:jc w:val="left"/>
            </w:pPr>
            <w:r>
              <w:t xml:space="preserve">Architecture Review Board</w:t>
            </w:r>
          </w:p>
        </w:tc>
        <w:tc>
          <w:tcPr/>
          <w:p>
            <w:pPr>
              <w:pStyle w:val="Compact"/>
              <w:jc w:val="left"/>
            </w:pPr>
            <w:r>
              <w:t xml:space="preserve">architecture-review@seriestech.com</w:t>
            </w:r>
          </w:p>
        </w:tc>
      </w:tr>
    </w:tbl>
    <w:bookmarkEnd w:id="47"/>
    <w:bookmarkStart w:id="48" w:name="related-documents"/>
    <w:p>
      <w:pPr>
        <w:pStyle w:val="Heading2"/>
      </w:pPr>
      <w:r>
        <w:t xml:space="preserve">8. Related Documents</w:t>
      </w:r>
    </w:p>
    <w:p>
      <w:pPr>
        <w:numPr>
          <w:ilvl w:val="0"/>
          <w:numId w:val="1005"/>
        </w:numPr>
        <w:pStyle w:val="Compact"/>
      </w:pPr>
      <w:r>
        <w:t xml:space="preserve">STL-ALPHA-TDD-005 — Project Alpha Technical Design Document</w:t>
      </w:r>
    </w:p>
    <w:p>
      <w:pPr>
        <w:numPr>
          <w:ilvl w:val="0"/>
          <w:numId w:val="1005"/>
        </w:numPr>
        <w:pStyle w:val="Compact"/>
      </w:pPr>
      <w:r>
        <w:t xml:space="preserve">STL-ALPHA-UM-006 — Project Alpha User Manual</w:t>
      </w:r>
    </w:p>
    <w:p>
      <w:pPr>
        <w:numPr>
          <w:ilvl w:val="0"/>
          <w:numId w:val="1005"/>
        </w:numPr>
        <w:pStyle w:val="Compact"/>
      </w:pPr>
      <w:r>
        <w:t xml:space="preserve">STL-ARCH-SYS-009 — Enterprise System Architecture &amp; FAQ</w:t>
      </w:r>
    </w:p>
    <w:p>
      <w:pPr>
        <w:numPr>
          <w:ilvl w:val="0"/>
          <w:numId w:val="1005"/>
        </w:numPr>
        <w:pStyle w:val="Compact"/>
      </w:pPr>
      <w:r>
        <w:t xml:space="preserve">STL-IT-SEC-002 — IT Security &amp; Infrastructure Guide</w:t>
      </w:r>
    </w:p>
    <w:bookmarkEnd w:id="48"/>
    <w:bookmarkStart w:id="49" w:name="references"/>
    <w:p>
      <w:pPr>
        <w:pStyle w:val="Heading2"/>
      </w:pPr>
      <w:r>
        <w:t xml:space="preserve">9. References</w:t>
      </w:r>
    </w:p>
    <w:p>
      <w:pPr>
        <w:numPr>
          <w:ilvl w:val="0"/>
          <w:numId w:val="1006"/>
        </w:numPr>
        <w:pStyle w:val="Compact"/>
      </w:pPr>
      <w:r>
        <w:t xml:space="preserve">Project Alpha Client Discovery Notes, Projects Department, 2025</w:t>
      </w:r>
    </w:p>
    <w:p>
      <w:pPr>
        <w:numPr>
          <w:ilvl w:val="0"/>
          <w:numId w:val="1006"/>
        </w:numPr>
        <w:pStyle w:val="Compact"/>
      </w:pPr>
      <w:r>
        <w:t xml:space="preserve">LangChain Documentation (internal engineering wiki mirror), 2026</w:t>
      </w:r>
    </w:p>
    <w:p>
      <w:pPr>
        <w:numPr>
          <w:ilvl w:val="0"/>
          <w:numId w:val="1006"/>
        </w:numPr>
        <w:pStyle w:val="Compact"/>
      </w:pPr>
      <w:r>
        <w:t xml:space="preserve">ChromaDB Multi-Tenancy Best Practices, Architecture internal notes</w:t>
      </w:r>
    </w:p>
    <w:p>
      <w:r>
        <w:pict>
          <v:rect style="width:0;height:1.5pt" o:hralign="center" o:hrstd="t" o:hr="t"/>
        </w:pict>
      </w:r>
    </w:p>
    <w:p>
      <w:pPr>
        <w:pStyle w:val="FirstParagraph"/>
      </w:pPr>
      <w:r>
        <w:rPr>
          <w:bCs/>
          <w:b/>
        </w:rPr>
        <w:t xml:space="preserve">Internal Use Only — Series Tech Ltd. © 2026. Unauthorized distribution of this document outside the organization is prohibited.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Alpha Requirements Specification</dc:title>
  <dc:creator/>
  <cp:keywords/>
  <dcterms:created xsi:type="dcterms:W3CDTF">2026-07-15T17:20:25Z</dcterms:created>
  <dcterms:modified xsi:type="dcterms:W3CDTF">2026-07-15T17:20:25Z</dcterms:modified>
</cp:coreProperties>
</file>

<file path=docProps/custom.xml><?xml version="1.0" encoding="utf-8"?>
<Properties xmlns="http://schemas.openxmlformats.org/officeDocument/2006/custom-properties" xmlns:vt="http://schemas.openxmlformats.org/officeDocument/2006/docPropsVTypes"/>
</file>