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Kinase Assay Benchmark</w:t>
      </w:r>
    </w:p>
    <w:p>
      <w:pPr>
        <w:pStyle w:val="Subtitle"/>
      </w:pPr>
      <w:r>
        <w:t>20 questions  |  K1 / K2 / K3 / K6  |  Answer key and evidence  |  Version 4</w:t>
      </w:r>
    </w:p>
    <w:p>
      <w:pPr>
        <w:pStyle w:val="Meta"/>
      </w:pPr>
      <w:r>
        <w:rPr>
          <w:b/>
        </w:rPr>
        <w:t xml:space="preserve">Scope. </w:t>
      </w:r>
      <w:r>
        <w:t>EGFR, CDK2, PRKACA, STK17B/DRAK2 and STK32B/YANK2. Technology-specific adaptations are hypothetical where indicated.</w:t>
      </w:r>
    </w:p>
    <w:p>
      <w:pPr>
        <w:pStyle w:val="Meta"/>
      </w:pPr>
      <w:r>
        <w:rPr>
          <w:b/>
        </w:rPr>
        <w:t xml:space="preserve">Scoring. </w:t>
      </w:r>
      <w:r>
        <w:t>40 points total. K1, K3 and K6: exact selection only, 2 points or 0. K2: 1 point for the selected answer and 1 for a scientifically correct one-sentence basis.</w:t>
      </w:r>
    </w:p>
    <w:p>
      <w:pPr>
        <w:pStyle w:val="Meta"/>
      </w:pPr>
      <w:r>
        <w:rPr>
          <w:b/>
        </w:rPr>
        <w:t xml:space="preserve">Difficulty annotations. </w:t>
      </w:r>
      <w:r>
        <w:t>Easy / Moderate / Hard are author-assigned difficulty targets for a closed-book LLM, not empirically measured success rates.</w:t>
      </w:r>
    </w:p>
    <w:p>
      <w:pPr>
        <w:pStyle w:val="Meta"/>
      </w:pPr>
      <w:r>
        <w:rPr>
          <w:b/>
        </w:rPr>
        <w:t xml:space="preserve">Version notes. </w:t>
      </w:r>
      <w:r>
        <w:t>K1-05 uses the agreed PK/LDH replacement for ADP-Glo. K1-04, K2-04 and K3-04 are the specialist recall items; K6-01 remains the literature-specific hard item. All kinase identities and other technology pairings are preserved.</w:t>
      </w:r>
    </w:p>
    <w:p>
      <w:pPr>
        <w:pStyle w:val="Heading1"/>
      </w:pPr>
      <w:r>
        <w:t>K1  |  Kinase-specific biochemical requirements and signal-generating species</w:t>
      </w:r>
    </w:p>
    <w:p>
      <w:pPr>
        <w:pStyle w:val="Heading2"/>
      </w:pPr>
      <w:r>
        <w:t>K1-01  |  EGFR × phosphotyrosine immunodetection</w:t>
      </w:r>
    </w:p>
    <w:p>
      <w:r>
        <w:rPr>
          <w:b/>
        </w:rPr>
        <w:t xml:space="preserve">Correct answer: </w:t>
      </w:r>
      <w:r>
        <w:t>C</w:t>
      </w:r>
    </w:p>
    <w:p>
      <w:r>
        <w:rPr>
          <w:b/>
        </w:rPr>
        <w:t xml:space="preserve">Rationale. </w:t>
      </w:r>
      <w:r>
        <w:t>Anti-phosphotyrosine detection of the isolated peptide fraction measures phosphorylated tyrosine residues on that peptide, not ATP-consumption products or receptor autophosphorylation excluded by the capture step.</w:t>
      </w:r>
    </w:p>
    <w:p>
      <w:pPr>
        <w:pStyle w:val="Meta"/>
      </w:pPr>
      <w:r>
        <w:t>Estimated level: Easy  •  References: [R1], [R2]</w:t>
      </w:r>
    </w:p>
    <w:p>
      <w:pPr>
        <w:pStyle w:val="Heading2"/>
      </w:pPr>
      <w:r>
        <w:t>K1-02  |  CDK2 × [γ-33P]ATP radiometric assay</w:t>
      </w:r>
    </w:p>
    <w:p>
      <w:r>
        <w:rPr>
          <w:b/>
        </w:rPr>
        <w:t xml:space="preserve">Correct answer: </w:t>
      </w:r>
      <w:r>
        <w:t>B</w:t>
      </w:r>
    </w:p>
    <w:p>
      <w:r>
        <w:rPr>
          <w:b/>
        </w:rPr>
        <w:t xml:space="preserve">Rationale. </w:t>
      </w:r>
      <w:r>
        <w:t>Protein kinases transfer the terminal γ-phosphate of ATP to their substrates; counting isolated labeled histone H1 measures incorporated radiophosphate.</w:t>
      </w:r>
    </w:p>
    <w:p>
      <w:pPr>
        <w:pStyle w:val="Meta"/>
      </w:pPr>
      <w:r>
        <w:t>Estimated level: Easy  •  References: [R3]</w:t>
      </w:r>
    </w:p>
    <w:p>
      <w:pPr>
        <w:pStyle w:val="Heading2"/>
      </w:pPr>
      <w:r>
        <w:t>K1-03  |  PRKACA × Kinase-Glo luminescence</w:t>
      </w:r>
    </w:p>
    <w:p>
      <w:r>
        <w:rPr>
          <w:b/>
        </w:rPr>
        <w:t xml:space="preserve">Correct answer: </w:t>
      </w:r>
      <w:r>
        <w:t>E</w:t>
      </w:r>
    </w:p>
    <w:p>
      <w:r>
        <w:rPr>
          <w:b/>
        </w:rPr>
        <w:t xml:space="preserve">Rationale. </w:t>
      </w:r>
      <w:r>
        <w:t>Kinase-Glo reports residual ATP via luciferase; ADP, phosphorylated peptide and inorganic phosphate are not the direct species used by this formulation.</w:t>
      </w:r>
    </w:p>
    <w:p>
      <w:pPr>
        <w:pStyle w:val="Meta"/>
      </w:pPr>
      <w:r>
        <w:t>Estimated level: Moderate  •  References: [R4], [R8], [R9]</w:t>
      </w:r>
    </w:p>
    <w:p>
      <w:pPr>
        <w:pStyle w:val="Heading2"/>
      </w:pPr>
      <w:r>
        <w:t>K1-04  |  STK17B × Sox-labelled peptide fluorescence</w:t>
      </w:r>
    </w:p>
    <w:p>
      <w:r>
        <w:rPr>
          <w:b/>
        </w:rPr>
        <w:t xml:space="preserve">Correct answer: </w:t>
      </w:r>
      <w:r>
        <w:t>D</w:t>
      </w:r>
    </w:p>
    <w:p>
      <w:r>
        <w:rPr>
          <w:b/>
        </w:rPr>
        <w:t xml:space="preserve">Rationale. </w:t>
      </w:r>
      <w:r>
        <w:t>Sox-based peptide sensors exploit chelation-enhanced fluorescence: a phosphorylated residue and nearby Sox fluorophore coordinate Mg2+. The exact STK17B peptide sequence is experimentally reported. This identifies the fluorescence-generating phosphopeptide mechanism, not an endogenous STK17B substrate.</w:t>
      </w:r>
    </w:p>
    <w:p>
      <w:pPr>
        <w:pStyle w:val="Meta"/>
      </w:pPr>
      <w:r>
        <w:t>Estimated level: Hard  •  References: [R5], [R25]</w:t>
      </w:r>
    </w:p>
    <w:p>
      <w:pPr>
        <w:pStyle w:val="Heading2"/>
      </w:pPr>
      <w:r>
        <w:t>K1-05  |  STK32B × PK/LDH-coupled absorbance</w:t>
      </w:r>
    </w:p>
    <w:p>
      <w:r>
        <w:rPr>
          <w:b/>
        </w:rPr>
        <w:t xml:space="preserve">Correct answer: </w:t>
      </w:r>
      <w:r>
        <w:t>A</w:t>
      </w:r>
    </w:p>
    <w:p>
      <w:r>
        <w:rPr>
          <w:b/>
        </w:rPr>
        <w:t xml:space="preserve">Rationale. </w:t>
      </w:r>
      <w:r>
        <w:t>The coupled reaction uses ADP to drive pyruvate formation, followed by NADH oxidation as LDH reduces pyruvate. NADH absorbs at 340 nm; its consumption causes the measured decrease. The STK32B implementation is proposed, not published, and ATP is recycled by PK.</w:t>
      </w:r>
    </w:p>
    <w:p>
      <w:pPr>
        <w:pStyle w:val="Meta"/>
      </w:pPr>
      <w:r>
        <w:t>Estimated level: Moderate  •  References: [R6], [R24]</w:t>
      </w:r>
    </w:p>
    <w:p>
      <w:r>
        <w:br w:type="page"/>
      </w:r>
    </w:p>
    <w:p>
      <w:pPr>
        <w:pStyle w:val="Heading1"/>
      </w:pPr>
      <w:r>
        <w:t>K2  |  Kinase–measurement technology compatibility</w:t>
      </w:r>
    </w:p>
    <w:p>
      <w:pPr>
        <w:pStyle w:val="Heading2"/>
      </w:pPr>
      <w:r>
        <w:t>K2-01  |  EGFR × GPCR radioligand displacement</w:t>
      </w:r>
    </w:p>
    <w:p>
      <w:r>
        <w:rPr>
          <w:b/>
        </w:rPr>
        <w:t xml:space="preserve">Correct answer: </w:t>
      </w:r>
      <w:r>
        <w:t>B</w:t>
      </w:r>
    </w:p>
    <w:p>
      <w:r>
        <w:rPr>
          <w:b/>
        </w:rPr>
        <w:t xml:space="preserve">Rationale. </w:t>
      </w:r>
      <w:r>
        <w:t>Competitive radioligand binding reports ligand-receptor interactions, not ATP-dependent substrate phosphorylation; kinase catalysis requires a suitable reaction and product-related detection.</w:t>
      </w:r>
    </w:p>
    <w:p>
      <w:pPr>
        <w:pStyle w:val="Meta"/>
      </w:pPr>
      <w:r>
        <w:t>Estimated level: Easy  •  References: [R1], [R2], [R7]</w:t>
      </w:r>
    </w:p>
    <w:p>
      <w:pPr>
        <w:pStyle w:val="Meta"/>
      </w:pPr>
      <w:r>
        <w:rPr>
          <w:b/>
        </w:rPr>
        <w:t xml:space="preserve">Basis scoring: </w:t>
      </w:r>
      <w:r>
        <w:t>Accept a correct one-sentence explanation of the physical reporter mechanism or missing catalytic requirement, consistent with the rationale above.</w:t>
      </w:r>
    </w:p>
    <w:p>
      <w:pPr>
        <w:pStyle w:val="Heading2"/>
      </w:pPr>
      <w:r>
        <w:t>K2-02  |  CDK2 × AlphaScreen phosphosubstrate detection</w:t>
      </w:r>
    </w:p>
    <w:p>
      <w:r>
        <w:rPr>
          <w:b/>
        </w:rPr>
        <w:t xml:space="preserve">Correct answer: </w:t>
      </w:r>
      <w:r>
        <w:t>D</w:t>
      </w:r>
    </w:p>
    <w:p>
      <w:r>
        <w:rPr>
          <w:b/>
        </w:rPr>
        <w:t xml:space="preserve">Rationale. </w:t>
      </w:r>
      <w:r>
        <w:t>Phosphorylation permits phosphospecific recognition of a biotinylated substrate, positioning AlphaScreen beads near one another. This is an indirect detection of phosphorylated product, contingent on suitable enzyme activation and reagents.</w:t>
      </w:r>
    </w:p>
    <w:p>
      <w:pPr>
        <w:pStyle w:val="Meta"/>
      </w:pPr>
      <w:r>
        <w:t>Estimated level: Moderate  •  References: [R3], [R7], [R12]</w:t>
      </w:r>
    </w:p>
    <w:p>
      <w:pPr>
        <w:pStyle w:val="Meta"/>
      </w:pPr>
      <w:r>
        <w:rPr>
          <w:b/>
        </w:rPr>
        <w:t xml:space="preserve">Basis scoring: </w:t>
      </w:r>
      <w:r>
        <w:t>Accept a correct one-sentence explanation of the physical reporter mechanism or missing catalytic requirement, consistent with the rationale above.</w:t>
      </w:r>
    </w:p>
    <w:p>
      <w:pPr>
        <w:pStyle w:val="Heading2"/>
      </w:pPr>
      <w:r>
        <w:t>K2-03  |  PRKACA × SPR binding sensor</w:t>
      </w:r>
    </w:p>
    <w:p>
      <w:r>
        <w:rPr>
          <w:b/>
        </w:rPr>
        <w:t xml:space="preserve">Correct answer: </w:t>
      </w:r>
      <w:r>
        <w:t>A</w:t>
      </w:r>
    </w:p>
    <w:p>
      <w:r>
        <w:rPr>
          <w:b/>
        </w:rPr>
        <w:t xml:space="preserve">Rationale. </w:t>
      </w:r>
      <w:r>
        <w:t>Conventional SPR measures analyte–ligand binding. A binding sensorgram lacking kinase substrates and product detection is not a measurement of catalytic turnover.</w:t>
      </w:r>
    </w:p>
    <w:p>
      <w:pPr>
        <w:pStyle w:val="Meta"/>
      </w:pPr>
      <w:r>
        <w:t>Estimated level: Easy  •  References: [R4], [R22]</w:t>
      </w:r>
    </w:p>
    <w:p>
      <w:pPr>
        <w:pStyle w:val="Meta"/>
      </w:pPr>
      <w:r>
        <w:rPr>
          <w:b/>
        </w:rPr>
        <w:t xml:space="preserve">Basis scoring: </w:t>
      </w:r>
      <w:r>
        <w:t>Accept a correct one-sentence explanation of the physical reporter mechanism or missing catalytic requirement, consistent with the rationale above.</w:t>
      </w:r>
    </w:p>
    <w:p>
      <w:pPr>
        <w:pStyle w:val="Heading2"/>
      </w:pPr>
      <w:r>
        <w:t>K2-04  |  STK17B × Z′-LYTE FRET</w:t>
      </w:r>
    </w:p>
    <w:p>
      <w:r>
        <w:rPr>
          <w:b/>
        </w:rPr>
        <w:t xml:space="preserve">Correct answer: </w:t>
      </w:r>
      <w:r>
        <w:t>C</w:t>
      </w:r>
    </w:p>
    <w:p>
      <w:r>
        <w:rPr>
          <w:b/>
        </w:rPr>
        <w:t xml:space="preserve">Rationale. </w:t>
      </w:r>
      <w:r>
        <w:t>In Z′-LYTE, the development protease preferentially cleaves unphosphorylated substrate: cleavage reduces FRET and raises 445/520 donor/acceptor ratio. Phosphorylated controls resist cleavage and retain a lower ratio. STK17B-specific peptide phosphorylation and assay window remain to be validated.</w:t>
      </w:r>
    </w:p>
    <w:p>
      <w:pPr>
        <w:pStyle w:val="Meta"/>
      </w:pPr>
      <w:r>
        <w:t>Estimated level: Hard  •  References: [R5], [R7], [R10], [R26]</w:t>
      </w:r>
    </w:p>
    <w:p>
      <w:pPr>
        <w:pStyle w:val="Meta"/>
      </w:pPr>
      <w:r>
        <w:rPr>
          <w:b/>
        </w:rPr>
        <w:t xml:space="preserve">Basis scoring: </w:t>
      </w:r>
      <w:r>
        <w:t>Accept a correct one-sentence explanation of the physical reporter mechanism or missing catalytic requirement, consistent with the rationale above.</w:t>
      </w:r>
    </w:p>
    <w:p>
      <w:pPr>
        <w:pStyle w:val="Heading2"/>
      </w:pPr>
      <w:r>
        <w:t>K2-05  |  STK32B × radiometric SPA</w:t>
      </w:r>
    </w:p>
    <w:p>
      <w:r>
        <w:rPr>
          <w:b/>
        </w:rPr>
        <w:t xml:space="preserve">Correct answer: </w:t>
      </w:r>
      <w:r>
        <w:t>B</w:t>
      </w:r>
    </w:p>
    <w:p>
      <w:r>
        <w:rPr>
          <w:b/>
        </w:rPr>
        <w:t xml:space="preserve">Rationale. </w:t>
      </w:r>
      <w:r>
        <w:t>Incorporated 33P from the ATP γ-phosphate is captured on biotinylated phosphosubstrate near SPA beads and detected without auxiliary enzyme reporter chemistry. This precise STK32B implementation remains proposed.</w:t>
      </w:r>
    </w:p>
    <w:p>
      <w:pPr>
        <w:pStyle w:val="Meta"/>
      </w:pPr>
      <w:r>
        <w:t>Estimated level: Moderate  •  References: [R6], [R18], [R19]</w:t>
      </w:r>
    </w:p>
    <w:p>
      <w:pPr>
        <w:pStyle w:val="Meta"/>
      </w:pPr>
      <w:r>
        <w:rPr>
          <w:b/>
        </w:rPr>
        <w:t xml:space="preserve">Basis scoring: </w:t>
      </w:r>
      <w:r>
        <w:t>Accept a correct one-sentence explanation of the physical reporter mechanism or missing catalytic requirement, consistent with the rationale above.</w:t>
      </w:r>
    </w:p>
    <w:p>
      <w:r>
        <w:br w:type="page"/>
      </w:r>
    </w:p>
    <w:p>
      <w:pPr>
        <w:pStyle w:val="Heading1"/>
      </w:pPr>
      <w:r>
        <w:t>K3  |  Assay artifact identification and causes</w:t>
      </w:r>
    </w:p>
    <w:p>
      <w:pPr>
        <w:pStyle w:val="Heading2"/>
      </w:pPr>
      <w:r>
        <w:t>K3-01  |  PRKACA × Kinase-Glo assay artifacts</w:t>
      </w:r>
    </w:p>
    <w:p>
      <w:r>
        <w:rPr>
          <w:b/>
        </w:rPr>
        <w:t xml:space="preserve">Correct answer: </w:t>
      </w:r>
      <w:r>
        <w:t>B, E</w:t>
      </w:r>
    </w:p>
    <w:p>
      <w:r>
        <w:rPr>
          <w:b/>
        </w:rPr>
        <w:t xml:space="preserve">Rationale. </w:t>
      </w:r>
      <w:r>
        <w:t>Spatial thermal variation can change luciferase signals, and optical cross-talk can add counts to neighbouring wells. The specified ATP-only controls have neither enzyme nor peptide, excluding alternative kinase-dependent explanations.</w:t>
      </w:r>
    </w:p>
    <w:p>
      <w:pPr>
        <w:pStyle w:val="Meta"/>
      </w:pPr>
      <w:r>
        <w:t>Estimated level: Easy  •  References: [R8], [R21]</w:t>
      </w:r>
    </w:p>
    <w:p>
      <w:pPr>
        <w:pStyle w:val="Heading2"/>
      </w:pPr>
      <w:r>
        <w:t>K3-02  |  EGFR × Z′-LYTE FRET assay artifacts</w:t>
      </w:r>
    </w:p>
    <w:p>
      <w:r>
        <w:rPr>
          <w:b/>
        </w:rPr>
        <w:t xml:space="preserve">Correct answer: </w:t>
      </w:r>
      <w:r>
        <w:t>A, D</w:t>
      </w:r>
    </w:p>
    <w:p>
      <w:r>
        <w:rPr>
          <w:b/>
        </w:rPr>
        <w:t xml:space="preserve">Rationale. </w:t>
      </w:r>
      <w:r>
        <w:t>In reference-standard wells the phosphopeptides are pre-prepared and do not require kinase catalysis. Wrong development conditions or detection channels can eliminate discrimination between the cleavage states.</w:t>
      </w:r>
    </w:p>
    <w:p>
      <w:pPr>
        <w:pStyle w:val="Meta"/>
      </w:pPr>
      <w:r>
        <w:t>Estimated level: Moderate  •  References: [R10]</w:t>
      </w:r>
    </w:p>
    <w:p>
      <w:pPr>
        <w:pStyle w:val="Heading2"/>
      </w:pPr>
      <w:r>
        <w:t>K3-03  |  STK32B × AlphaScreen assay artifacts</w:t>
      </w:r>
    </w:p>
    <w:p>
      <w:r>
        <w:rPr>
          <w:b/>
        </w:rPr>
        <w:t xml:space="preserve">Correct answer: </w:t>
      </w:r>
      <w:r>
        <w:t>C, E</w:t>
      </w:r>
    </w:p>
    <w:p>
      <w:r>
        <w:rPr>
          <w:b/>
        </w:rPr>
        <w:t xml:space="preserve">Rationale. </w:t>
      </w:r>
      <w:r>
        <w:t>Excess biotinylated analyte can decrease effective bead bridging (hook effect), while prolonged light exposure reduces AlphaScreen donor-bead performance.</w:t>
      </w:r>
    </w:p>
    <w:p>
      <w:pPr>
        <w:pStyle w:val="Meta"/>
      </w:pPr>
      <w:r>
        <w:t>Estimated level: Moderate  •  References: [R12], [R13], [R23]</w:t>
      </w:r>
    </w:p>
    <w:p>
      <w:pPr>
        <w:pStyle w:val="Heading2"/>
      </w:pPr>
      <w:r>
        <w:t>K3-04  |  STK17B × Amplex Red/HRP assay artifacts</w:t>
      </w:r>
    </w:p>
    <w:p>
      <w:r>
        <w:rPr>
          <w:b/>
        </w:rPr>
        <w:t xml:space="preserve">Correct answer: </w:t>
      </w:r>
      <w:r>
        <w:t>B, D</w:t>
      </w:r>
    </w:p>
    <w:p>
      <w:r>
        <w:rPr>
          <w:b/>
        </w:rPr>
        <w:t xml:space="preserve">Rationale. </w:t>
      </w:r>
      <w:r>
        <w:t>Zhao et al. describe light-dependent Amplex Red photooxidation, generating fluorescent resorufin in nominal blanks; excess peroxide with HRP can oxidise resorufin further to nonfluorescent products. The two effects are distinct from routine reporter formation and from reductions or proteolytic cleavage.</w:t>
      </w:r>
    </w:p>
    <w:p>
      <w:pPr>
        <w:pStyle w:val="Meta"/>
      </w:pPr>
      <w:r>
        <w:t>Estimated level: Hard  •  References: [R15], [R17]</w:t>
      </w:r>
    </w:p>
    <w:p>
      <w:pPr>
        <w:pStyle w:val="Heading2"/>
      </w:pPr>
      <w:r>
        <w:t>K3-05  |  CDK2 × radiometric SPA assay artifacts</w:t>
      </w:r>
    </w:p>
    <w:p>
      <w:r>
        <w:rPr>
          <w:b/>
        </w:rPr>
        <w:t xml:space="preserve">Correct answer: </w:t>
      </w:r>
      <w:r>
        <w:t>A, C</w:t>
      </w:r>
    </w:p>
    <w:p>
      <w:r>
        <w:rPr>
          <w:b/>
        </w:rPr>
        <w:t xml:space="preserve">Rationale. </w:t>
      </w:r>
      <w:r>
        <w:t>SPA can exhibit free-tracer non-proximity background in some implementations; uneven settling alters bead imaging and signal reproducibility. No-kinase wells lack CDK2, and the specified format lacks FRET or luciferase reporters.</w:t>
      </w:r>
    </w:p>
    <w:p>
      <w:pPr>
        <w:pStyle w:val="Meta"/>
      </w:pPr>
      <w:r>
        <w:t>Estimated level: Easy  •  References: [R18], [R19]</w:t>
      </w:r>
    </w:p>
    <w:p>
      <w:r>
        <w:br w:type="page"/>
      </w:r>
    </w:p>
    <w:p>
      <w:pPr>
        <w:pStyle w:val="Heading1"/>
      </w:pPr>
      <w:r>
        <w:t>K6  |  Compound-associated assay interference</w:t>
      </w:r>
    </w:p>
    <w:p>
      <w:pPr>
        <w:pStyle w:val="Heading2"/>
      </w:pPr>
      <w:r>
        <w:t>K6-01  |  STK32B × Kinase-Glo compound interference</w:t>
      </w:r>
    </w:p>
    <w:p>
      <w:r>
        <w:rPr>
          <w:b/>
        </w:rPr>
        <w:t xml:space="preserve">Correct answer: </w:t>
      </w:r>
      <w:r>
        <w:t>A, D</w:t>
      </w:r>
    </w:p>
    <w:p>
      <w:r>
        <w:rPr>
          <w:b/>
        </w:rPr>
        <w:t xml:space="preserve">Rationale. </w:t>
      </w:r>
      <w:r>
        <w:t>Auld et al. identify 2d and 2e as inhibitors of the formulated Kinase-Glo readout. Analogue 2l and benzothiazole 7i are not active in the specified formulation under reported conditions; this must not be generalised to all luciferase preparations or assay contexts.</w:t>
      </w:r>
    </w:p>
    <w:p>
      <w:pPr>
        <w:pStyle w:val="Meta"/>
      </w:pPr>
      <w:r>
        <w:t>Estimated level: Hard  •  References: [R9]</w:t>
      </w:r>
    </w:p>
    <w:p>
      <w:pPr>
        <w:pStyle w:val="Heading2"/>
      </w:pPr>
      <w:r>
        <w:t>K6-02  |  EGFR × Z′-LYTE fluorescence interference</w:t>
      </w:r>
    </w:p>
    <w:p>
      <w:r>
        <w:rPr>
          <w:b/>
        </w:rPr>
        <w:t xml:space="preserve">Correct answer: </w:t>
      </w:r>
      <w:r>
        <w:t>C</w:t>
      </w:r>
    </w:p>
    <w:p>
      <w:r>
        <w:rPr>
          <w:b/>
        </w:rPr>
        <w:t xml:space="preserve">Rationale. </w:t>
      </w:r>
      <w:r>
        <w:t>In the specified published control, curcumin interfered while the tested monocarbonyl analogues did not at up to 50 µM. The other listed substances are not established positives in that exact source test.</w:t>
      </w:r>
    </w:p>
    <w:p>
      <w:pPr>
        <w:pStyle w:val="Meta"/>
      </w:pPr>
      <w:r>
        <w:t>Estimated level: Easy  •  References: [R11]</w:t>
      </w:r>
    </w:p>
    <w:p>
      <w:pPr>
        <w:pStyle w:val="Heading2"/>
      </w:pPr>
      <w:r>
        <w:t>K6-03  |  PRKACA × AlphaScreen compound interference</w:t>
      </w:r>
    </w:p>
    <w:p>
      <w:r>
        <w:rPr>
          <w:b/>
        </w:rPr>
        <w:t xml:space="preserve">Correct answer: </w:t>
      </w:r>
      <w:r>
        <w:t>B, E</w:t>
      </w:r>
    </w:p>
    <w:p>
      <w:r>
        <w:rPr>
          <w:b/>
        </w:rPr>
        <w:t xml:space="preserve">Rationale. </w:t>
      </w:r>
      <w:r>
        <w:t>The NIH manual explicitly lists trypan blue and sodium azide as AlphaScreen interferents. The other compounds should be treated as unestablished in this specified reference rather than universally inactive.</w:t>
      </w:r>
    </w:p>
    <w:p>
      <w:pPr>
        <w:pStyle w:val="Meta"/>
      </w:pPr>
      <w:r>
        <w:t>Estimated level: Moderate  •  References: [R12], [R14]</w:t>
      </w:r>
    </w:p>
    <w:p>
      <w:pPr>
        <w:pStyle w:val="Heading2"/>
      </w:pPr>
      <w:r>
        <w:t>K6-04  |  CDK2 × Amplex Red/HRP compound interference</w:t>
      </w:r>
    </w:p>
    <w:p>
      <w:r>
        <w:rPr>
          <w:b/>
        </w:rPr>
        <w:t xml:space="preserve">Correct answer: </w:t>
      </w:r>
      <w:r>
        <w:t>A, C</w:t>
      </w:r>
    </w:p>
    <w:p>
      <w:r>
        <w:rPr>
          <w:b/>
        </w:rPr>
        <w:t xml:space="preserve">Rationale. </w:t>
      </w:r>
      <w:r>
        <w:t>Gallic acid and quercetin altered the HRP/Amplex Red readout in the cited experiments. No single direction of effect is assumed for all assay conditions.</w:t>
      </w:r>
    </w:p>
    <w:p>
      <w:pPr>
        <w:pStyle w:val="Meta"/>
      </w:pPr>
      <w:r>
        <w:t>Estimated level: Moderate  •  References: [R15], [R16]</w:t>
      </w:r>
    </w:p>
    <w:p>
      <w:pPr>
        <w:pStyle w:val="Heading2"/>
      </w:pPr>
      <w:r>
        <w:t>K6-05  |  PRKACA × radiometric SPA compound interference</w:t>
      </w:r>
    </w:p>
    <w:p>
      <w:r>
        <w:rPr>
          <w:b/>
        </w:rPr>
        <w:t xml:space="preserve">Correct answer: </w:t>
      </w:r>
      <w:r>
        <w:t>D, E</w:t>
      </w:r>
    </w:p>
    <w:p>
      <w:r>
        <w:rPr>
          <w:b/>
        </w:rPr>
        <w:t xml:space="preserve">Rationale. </w:t>
      </w:r>
      <w:r>
        <w:t>Free biotin competes for streptavidin capture, and gentian violet was among reported interfering dyes. The publication studied a methyltransferase SPA format, not PRKACA or the identical radioisotope.</w:t>
      </w:r>
    </w:p>
    <w:p>
      <w:pPr>
        <w:pStyle w:val="Meta"/>
      </w:pPr>
      <w:r>
        <w:t>Estimated level: Moderate  •  References: [R18], [R20]</w:t>
      </w:r>
    </w:p>
    <w:p>
      <w:r>
        <w:br w:type="page"/>
      </w:r>
    </w:p>
    <w:p>
      <w:pPr>
        <w:pStyle w:val="Heading1"/>
      </w:pPr>
      <w:r>
        <w:t>References and evidence boundaries</w:t>
      </w:r>
    </w:p>
    <w:p>
      <w:r>
        <w:t>Only source-scoped K6 positives are graded as reported interferents. Absence from a cited source does not prove global non-interference. In proposed assays, validated detection chemistry is distinguished from kinase-specific validation.</w:t>
      </w:r>
    </w:p>
    <w:p>
      <w:pPr>
        <w:pStyle w:val="Meta"/>
        <w:spacing w:after="60"/>
      </w:pPr>
      <w:r>
        <w:rPr>
          <w:b/>
        </w:rPr>
        <w:t xml:space="preserve">[R1] </w:t>
      </w:r>
      <w:r>
        <w:t xml:space="preserve">EGFR kinase biochemistry and peptide phosphorylation; EGFR tyrosine specificity.  </w:t>
      </w:r>
      <w:r>
        <w:rPr>
          <w:i/>
        </w:rPr>
        <w:t>https://pmc.ncbi.nlm.nih.gov/articles/PMC1316279/</w:t>
      </w:r>
    </w:p>
    <w:p>
      <w:pPr>
        <w:pStyle w:val="Meta"/>
        <w:spacing w:after="60"/>
      </w:pPr>
      <w:r>
        <w:rPr>
          <w:b/>
        </w:rPr>
        <w:t xml:space="preserve">[R2] </w:t>
      </w:r>
      <w:r>
        <w:t xml:space="preserve">Near-full-length EGFR; receptor activation states and construct dependence.  </w:t>
      </w:r>
      <w:r>
        <w:rPr>
          <w:i/>
        </w:rPr>
        <w:t>https://pmc.ncbi.nlm.nih.gov/articles/PMC2747374/</w:t>
      </w:r>
    </w:p>
    <w:p>
      <w:pPr>
        <w:pStyle w:val="Meta"/>
        <w:spacing w:after="60"/>
      </w:pPr>
      <w:r>
        <w:rPr>
          <w:b/>
        </w:rPr>
        <w:t xml:space="preserve">[R3] </w:t>
      </w:r>
      <w:r>
        <w:t xml:space="preserve">Holmes et al. CDK2 activation, histone H1 phosphorylation, cyclin A, Thr160 and [γ-32P]ATP.  </w:t>
      </w:r>
      <w:r>
        <w:rPr>
          <w:i/>
        </w:rPr>
        <w:t>https://febs.onlinelibrary.wiley.com/doi/10.1046/j.1432-1327.2001.02392.x</w:t>
      </w:r>
    </w:p>
    <w:p>
      <w:pPr>
        <w:pStyle w:val="Meta"/>
        <w:spacing w:after="60"/>
      </w:pPr>
      <w:r>
        <w:rPr>
          <w:b/>
        </w:rPr>
        <w:t xml:space="preserve">[R4] </w:t>
      </w:r>
      <w:r>
        <w:t xml:space="preserve">Shaffer and Adams; PRKACA MgATP-dependent Kemptide phosphorylation.  </w:t>
      </w:r>
      <w:r>
        <w:rPr>
          <w:i/>
        </w:rPr>
        <w:t>https://pubmed.ncbi.nlm.nih.gov/10220345/</w:t>
      </w:r>
    </w:p>
    <w:p>
      <w:pPr>
        <w:pStyle w:val="Meta"/>
        <w:spacing w:after="60"/>
      </w:pPr>
      <w:r>
        <w:rPr>
          <w:b/>
        </w:rPr>
        <w:t xml:space="preserve">[R5] </w:t>
      </w:r>
      <w:r>
        <w:t xml:space="preserve">STK17B/DRAK2; 2024 optimized Sox-peptide assay with ATP/MgCl2 and fluorescent readout.  </w:t>
      </w:r>
      <w:r>
        <w:rPr>
          <w:i/>
        </w:rPr>
        <w:t>https://www.frontiersin.org/journals/immunology/articles/10.3389/fimmu.2024.1411395/full</w:t>
      </w:r>
    </w:p>
    <w:p>
      <w:pPr>
        <w:pStyle w:val="Meta"/>
        <w:spacing w:after="60"/>
      </w:pPr>
      <w:r>
        <w:rPr>
          <w:b/>
        </w:rPr>
        <w:t xml:space="preserve">[R6] </w:t>
      </w:r>
      <w:r>
        <w:t xml:space="preserve">STK32B/YANK2; Reaction Biology radiometric service assay with myelin basic protein and ATP.  </w:t>
      </w:r>
      <w:r>
        <w:rPr>
          <w:i/>
        </w:rPr>
        <w:t>https://www.reactionbiology.com/datasheet/stk32b_yank2_kin_malvern/</w:t>
      </w:r>
    </w:p>
    <w:p>
      <w:pPr>
        <w:pStyle w:val="Meta"/>
        <w:spacing w:after="60"/>
      </w:pPr>
      <w:r>
        <w:rPr>
          <w:b/>
        </w:rPr>
        <w:t xml:space="preserve">[R7] </w:t>
      </w:r>
      <w:r>
        <w:t xml:space="preserve">NIH Assay Guidance Manual; biochemical protein kinase assay measurement technologies.  </w:t>
      </w:r>
      <w:r>
        <w:rPr>
          <w:i/>
        </w:rPr>
        <w:t>https://www.ncbi.nlm.nih.gov/books/NBK91991/</w:t>
      </w:r>
    </w:p>
    <w:p>
      <w:pPr>
        <w:pStyle w:val="Meta"/>
        <w:spacing w:after="60"/>
      </w:pPr>
      <w:r>
        <w:rPr>
          <w:b/>
        </w:rPr>
        <w:t xml:space="preserve">[R8] </w:t>
      </w:r>
      <w:r>
        <w:t xml:space="preserve">Promega Kinase-Glo platform technical bulletin; ATP readout and technical conditions.  </w:t>
      </w:r>
      <w:r>
        <w:rPr>
          <w:i/>
        </w:rPr>
        <w:t>https://www.promega.com/resources/protocols/technical-bulletins/101/kinase-glo-luminescent-kinase-assay-platform-protocol/</w:t>
      </w:r>
    </w:p>
    <w:p>
      <w:pPr>
        <w:pStyle w:val="Meta"/>
        <w:spacing w:after="60"/>
      </w:pPr>
      <w:r>
        <w:rPr>
          <w:b/>
        </w:rPr>
        <w:t xml:space="preserve">[R9] </w:t>
      </w:r>
      <w:r>
        <w:t xml:space="preserve">Auld et al. 2009; formulated Ultra-Glo/Kinase-Glo interference and analogues in Tables 3-4.  </w:t>
      </w:r>
      <w:r>
        <w:rPr>
          <w:i/>
        </w:rPr>
        <w:t>https://pmc.ncbi.nlm.nih.gov/articles/PMC3430137/</w:t>
      </w:r>
    </w:p>
    <w:p>
      <w:pPr>
        <w:pStyle w:val="Meta"/>
        <w:spacing w:after="60"/>
      </w:pPr>
      <w:r>
        <w:rPr>
          <w:b/>
        </w:rPr>
        <w:t xml:space="preserve">[R10] </w:t>
      </w:r>
      <w:r>
        <w:t xml:space="preserve">Thermo Fisher Z′-LYTE troubleshooting: development dilution and reader configuration.  </w:t>
      </w:r>
      <w:r>
        <w:rPr>
          <w:i/>
        </w:rPr>
        <w:t>https://www.thermofisher.com/us/en/home/technical-resources/technical-reference-library/drug-discovery-development-support-center/drug-discovery-assays-support/drug-discovery-assays-support-troubleshooting.html</w:t>
      </w:r>
    </w:p>
    <w:p>
      <w:pPr>
        <w:pStyle w:val="Meta"/>
        <w:spacing w:after="60"/>
      </w:pPr>
      <w:r>
        <w:rPr>
          <w:b/>
        </w:rPr>
        <w:t xml:space="preserve">[R11] </w:t>
      </w:r>
      <w:r>
        <w:t xml:space="preserve">Curcumin Z′-LYTE fluorescence interference controls, and noninterfering tested monocarbonyl analogues.  </w:t>
      </w:r>
      <w:r>
        <w:rPr>
          <w:i/>
        </w:rPr>
        <w:t>https://pmc.ncbi.nlm.nih.gov/articles/PMC3927397/</w:t>
      </w:r>
    </w:p>
    <w:p>
      <w:pPr>
        <w:pStyle w:val="Meta"/>
        <w:spacing w:after="60"/>
      </w:pPr>
      <w:r>
        <w:rPr>
          <w:b/>
        </w:rPr>
        <w:t xml:space="preserve">[R12] </w:t>
      </w:r>
      <w:r>
        <w:t xml:space="preserve">AlphaScreen technology and phosphorylation-based bead recognition principles.  </w:t>
      </w:r>
      <w:r>
        <w:rPr>
          <w:i/>
        </w:rPr>
        <w:t>https://pmc.ncbi.nlm.nih.gov/articles/PMC5444910/</w:t>
      </w:r>
    </w:p>
    <w:p>
      <w:pPr>
        <w:pStyle w:val="Meta"/>
        <w:spacing w:after="60"/>
      </w:pPr>
      <w:r>
        <w:rPr>
          <w:b/>
        </w:rPr>
        <w:t xml:space="preserve">[R13] </w:t>
      </w:r>
      <w:r>
        <w:t xml:space="preserve">Revvity Alpha assay troubleshooting tables: hooking and photosensitivity.  </w:t>
      </w:r>
      <w:r>
        <w:rPr>
          <w:i/>
        </w:rPr>
        <w:t>https://www.revvity.com/ask/alpha-troubleshooting-tables</w:t>
      </w:r>
    </w:p>
    <w:p>
      <w:pPr>
        <w:pStyle w:val="Meta"/>
        <w:spacing w:after="60"/>
      </w:pPr>
      <w:r>
        <w:rPr>
          <w:b/>
        </w:rPr>
        <w:t xml:space="preserve">[R14] </w:t>
      </w:r>
      <w:r>
        <w:t xml:space="preserve">NIH Assay Guidance Manual: reported AlphaScreen interferents; trypan blue and sodium azide.  </w:t>
      </w:r>
      <w:r>
        <w:rPr>
          <w:i/>
        </w:rPr>
        <w:t>https://www.ncbi.nlm.nih.gov/books/NBK553584/table/assayinterference.T.examples_of_reported/</w:t>
      </w:r>
    </w:p>
    <w:p>
      <w:pPr>
        <w:pStyle w:val="Meta"/>
        <w:spacing w:after="60"/>
      </w:pPr>
      <w:r>
        <w:rPr>
          <w:b/>
        </w:rPr>
        <w:t xml:space="preserve">[R15] </w:t>
      </w:r>
      <w:r>
        <w:t xml:space="preserve">NIH Assay Guidance Manual: ADP-coupled / Amplex Red and kinase measurements.  </w:t>
      </w:r>
      <w:r>
        <w:rPr>
          <w:i/>
        </w:rPr>
        <w:t>https://www.ncbi.nlm.nih.gov/books/NBK91991/</w:t>
      </w:r>
    </w:p>
    <w:p>
      <w:pPr>
        <w:pStyle w:val="Meta"/>
        <w:spacing w:after="60"/>
      </w:pPr>
      <w:r>
        <w:rPr>
          <w:b/>
        </w:rPr>
        <w:t xml:space="preserve">[R16] </w:t>
      </w:r>
      <w:r>
        <w:t xml:space="preserve">Serrano et al. 2009; dietary phenols and antioxidants interfering with HRP/Amplex Red.  </w:t>
      </w:r>
      <w:r>
        <w:rPr>
          <w:i/>
        </w:rPr>
        <w:t>https://pubmed.ncbi.nlm.nih.gov/19679104/</w:t>
      </w:r>
    </w:p>
    <w:p>
      <w:pPr>
        <w:pStyle w:val="Meta"/>
        <w:spacing w:after="60"/>
      </w:pPr>
      <w:r>
        <w:rPr>
          <w:b/>
        </w:rPr>
        <w:t xml:space="preserve">[R17] </w:t>
      </w:r>
      <w:r>
        <w:t xml:space="preserve">Zhao et al. 2012; Amplex Red photooxidation and peroxide-dependent resorufin loss.  </w:t>
      </w:r>
      <w:r>
        <w:rPr>
          <w:i/>
        </w:rPr>
        <w:t>https://pmc.ncbi.nlm.nih.gov/articles/PMC3501008/</w:t>
      </w:r>
    </w:p>
    <w:p>
      <w:pPr>
        <w:pStyle w:val="Meta"/>
        <w:spacing w:after="60"/>
      </w:pPr>
      <w:r>
        <w:rPr>
          <w:b/>
        </w:rPr>
        <w:t xml:space="preserve">[R18] </w:t>
      </w:r>
      <w:r>
        <w:t xml:space="preserve">NIH Assay Guidance Manual: kinase radiometric SPA and related background.  </w:t>
      </w:r>
      <w:r>
        <w:rPr>
          <w:i/>
        </w:rPr>
        <w:t>https://www.ncbi.nlm.nih.gov/books/NBK91991/</w:t>
      </w:r>
    </w:p>
    <w:p>
      <w:pPr>
        <w:pStyle w:val="Meta"/>
        <w:spacing w:after="60"/>
      </w:pPr>
      <w:r>
        <w:rPr>
          <w:b/>
        </w:rPr>
        <w:t xml:space="preserve">[R19] </w:t>
      </w:r>
      <w:r>
        <w:t xml:space="preserve">Kinase LEADseeker/scintillation-proximity assay; bead incubation and centrifugation.  </w:t>
      </w:r>
      <w:r>
        <w:rPr>
          <w:i/>
        </w:rPr>
        <w:t>https://pmc.ncbi.nlm.nih.gov/articles/PMC3643815/</w:t>
      </w:r>
    </w:p>
    <w:p>
      <w:pPr>
        <w:pStyle w:val="Meta"/>
        <w:spacing w:after="60"/>
      </w:pPr>
      <w:r>
        <w:rPr>
          <w:b/>
        </w:rPr>
        <w:t xml:space="preserve">[R20] </w:t>
      </w:r>
      <w:r>
        <w:t xml:space="preserve">Scintillation-proximity interference screen using methyltransferases; biotin, gentian violet.  </w:t>
      </w:r>
      <w:r>
        <w:rPr>
          <w:i/>
        </w:rPr>
        <w:t>https://pmc.ncbi.nlm.nih.gov/articles/PMC3553658/</w:t>
      </w:r>
    </w:p>
    <w:p>
      <w:pPr>
        <w:pStyle w:val="Meta"/>
        <w:spacing w:after="60"/>
      </w:pPr>
      <w:r>
        <w:rPr>
          <w:b/>
        </w:rPr>
        <w:t xml:space="preserve">[R21] </w:t>
      </w:r>
      <w:r>
        <w:t xml:space="preserve">Promega plate luminescence cross-talk tests using Kinase-Glo Max.  </w:t>
      </w:r>
      <w:r>
        <w:rPr>
          <w:i/>
        </w:rPr>
        <w:t>https://www.promega.ca/resources/pubhub/2019/how-sensitivity-and-crosstalk-affect-your-bioluminescent-assay-results/</w:t>
      </w:r>
    </w:p>
    <w:p>
      <w:pPr>
        <w:pStyle w:val="Meta"/>
        <w:spacing w:after="60"/>
      </w:pPr>
      <w:r>
        <w:rPr>
          <w:b/>
        </w:rPr>
        <w:t xml:space="preserve">[R22] </w:t>
      </w:r>
      <w:r>
        <w:t xml:space="preserve">SPR measures label-free biomolecular binding rather than phosphorylation product.  </w:t>
      </w:r>
      <w:r>
        <w:rPr>
          <w:i/>
        </w:rPr>
        <w:t>https://pubmed.ncbi.nlm.nih.gov/23504431/</w:t>
      </w:r>
    </w:p>
    <w:p>
      <w:pPr>
        <w:pStyle w:val="Meta"/>
        <w:spacing w:after="60"/>
      </w:pPr>
      <w:r>
        <w:rPr>
          <w:b/>
        </w:rPr>
        <w:t xml:space="preserve">[R23] </w:t>
      </w:r>
      <w:r>
        <w:t xml:space="preserve">Revvity bead selection and bead interference; hook effect and donor bead light sensitivity.  </w:t>
      </w:r>
      <w:r>
        <w:rPr>
          <w:i/>
        </w:rPr>
        <w:t>https://www.revvity.com/ask/bead-selection-and-bead-interference</w:t>
      </w:r>
    </w:p>
    <w:p>
      <w:pPr>
        <w:pStyle w:val="Meta"/>
        <w:spacing w:after="60"/>
      </w:pPr>
      <w:r>
        <w:rPr>
          <w:b/>
        </w:rPr>
        <w:t xml:space="preserve">[R24] </w:t>
      </w:r>
      <w:r>
        <w:t xml:space="preserve">Traditional pyruvate-kinase/lactate-dehydrogenase (PK/LDH) assay; ADP coupling to NADH oxidation at 340 nm.  </w:t>
      </w:r>
      <w:r>
        <w:rPr>
          <w:i/>
        </w:rPr>
        <w:t>https://pmc.ncbi.nlm.nih.gov/articles/PMC7842521/</w:t>
      </w:r>
    </w:p>
    <w:p>
      <w:pPr>
        <w:pStyle w:val="Meta"/>
        <w:spacing w:after="60"/>
      </w:pPr>
      <w:r>
        <w:rPr>
          <w:b/>
        </w:rPr>
        <w:t xml:space="preserve">[R25] </w:t>
      </w:r>
      <w:r>
        <w:t xml:space="preserve">Sox-peptide chelation-enhanced fluorescence: phosphorylated substrate/Sox/Mg2+ coordination.  </w:t>
      </w:r>
      <w:r>
        <w:rPr>
          <w:i/>
        </w:rPr>
        <w:t>https://pmc.ncbi.nlm.nih.gov/articles/PMC10956166/</w:t>
      </w:r>
    </w:p>
    <w:p>
      <w:pPr>
        <w:pStyle w:val="Meta"/>
        <w:spacing w:after="60"/>
      </w:pPr>
      <w:r>
        <w:rPr>
          <w:b/>
        </w:rPr>
        <w:t xml:space="preserve">[R26] </w:t>
      </w:r>
      <w:r>
        <w:t xml:space="preserve">Thermo Fisher Z′-LYTE Ser/Thr 20 peptide manual; development cleavage and 445/520 ratio.  </w:t>
      </w:r>
      <w:r>
        <w:rPr>
          <w:i/>
        </w:rPr>
        <w:t>https://assets.thermofisher.com/TFS-Assets/LSG/manuals/zlyte_serthr_20_man.pdf</w:t>
      </w:r>
    </w:p>
    <w:p>
      <w:pPr>
        <w:pStyle w:val="Heading1"/>
      </w:pPr>
      <w:r>
        <w:t>Curation qualifications</w:t>
      </w:r>
    </w:p>
    <w:p>
      <w:pPr>
        <w:pStyle w:val="OptionText"/>
      </w:pPr>
      <w:r>
        <w:t>K1-01 to K1-05 identify the intended analyte or reporter mechanism in the stated setup; they do not establish that the assay is optimal or fully selective.</w:t>
      </w:r>
    </w:p>
    <w:p>
      <w:pPr>
        <w:pStyle w:val="OptionText"/>
      </w:pPr>
      <w:r>
        <w:t>K1-04: the specified Sox peptide is a validated artificial STK17B assay substrate; it should not be described as an endogenous substrate.</w:t>
      </w:r>
    </w:p>
    <w:p>
      <w:pPr>
        <w:pStyle w:val="OptionText"/>
      </w:pPr>
      <w:r>
        <w:t>K1-05: the PK/LDH-coupled STK32B assay is a proposed adaptation. ATP is regenerated in the coupling system, and changes in A340 are not uniquely kinase-specific in the presence of unrelated NADH-consuming reactions.</w:t>
      </w:r>
    </w:p>
    <w:p>
      <w:pPr>
        <w:pStyle w:val="OptionText"/>
      </w:pPr>
      <w:r>
        <w:t>K2-04: the low phosphopeptide 445/520 ratio is a general Z′-LYTE detection principle; no STK17B-specific Z′-LYTE validation is claimed.</w:t>
      </w:r>
    </w:p>
    <w:p>
      <w:pPr>
        <w:pStyle w:val="OptionText"/>
      </w:pPr>
      <w:r>
        <w:t>K2-05: radiometric SPA with the specified STK32B capture architecture is proposed, rather than documented as a previously tested STK32B-specific format.</w:t>
      </w:r>
    </w:p>
    <w:p>
      <w:pPr>
        <w:pStyle w:val="OptionText"/>
      </w:pPr>
      <w:r>
        <w:t>K3: scenarios are constructed combinations of documented artifact mechanisms, not claims that these exact patterns were observed for the named kinase.</w:t>
      </w:r>
    </w:p>
    <w:p>
      <w:pPr>
        <w:pStyle w:val="OptionText"/>
      </w:pPr>
      <w:r>
        <w:t>K6-01: exact compound identifiers and the commercial Kinase-Glo formulation matter; results for purified luciferase do not automatically transfer.</w:t>
      </w:r>
    </w:p>
    <w:p>
      <w:pPr>
        <w:pStyle w:val="OptionText"/>
      </w:pPr>
      <w:r>
        <w:t>K6-05: the experimental SPA interference source used methyltransferases and related capture chemistry, not a target-specific PRKACA counter-screen.</w:t>
      </w:r>
    </w:p>
    <w:p>
      <w:pPr>
        <w:pStyle w:val="OptionText"/>
      </w:pPr>
      <w:r>
        <w:t>Difficulty is a hypothesis requiring closed-book pilot testing, including reordered option variants and exact-match scoring.</w:t>
      </w:r>
    </w:p>
    <w:sectPr w:rsidR="00FC693F" w:rsidRPr="0006063C" w:rsidSect="00034616">
      <w:headerReference w:type="default" r:id="rId9"/>
      <w:footerReference w:type="default" r:id="rId10"/>
      <w:pgSz w:w="12240" w:h="15840"/>
      <w:pgMar w:top="965" w:right="1123" w:bottom="907"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782"/>
        <w:sz w:val="16"/>
      </w:rPr>
      <w:t xml:space="preserve">V4  •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97782"/>
        <w:sz w:val="15"/>
      </w:rPr>
      <w:t>KINASE ASSAY BENCHMARK   /   ANSWER KEY   /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Aptos" w:hAnsi="Aptos"/>
      <w:color w:val="1F31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60"/>
      <w:outlineLvl w:val="0"/>
    </w:pPr>
    <w:rPr>
      <w:rFonts w:asciiTheme="majorHAnsi" w:eastAsiaTheme="majorEastAsia" w:hAnsiTheme="majorHAnsi" w:cstheme="majorBidi" w:ascii="Aptos Display" w:hAnsi="Aptos Display"/>
      <w:b/>
      <w:bCs/>
      <w:color w:val="006771"/>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1F314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280"/>
      <w:contextualSpacing/>
    </w:pPr>
    <w:rPr>
      <w:rFonts w:asciiTheme="majorHAnsi" w:eastAsiaTheme="majorEastAsia" w:hAnsiTheme="majorHAnsi" w:cstheme="majorBidi" w:ascii="Aptos Display" w:hAnsi="Aptos Display"/>
      <w:b/>
      <w:color w:val="1F314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60"/>
    </w:pPr>
    <w:rPr>
      <w:rFonts w:asciiTheme="majorHAnsi" w:eastAsiaTheme="majorEastAsia" w:hAnsiTheme="majorHAnsi" w:cstheme="majorBidi" w:ascii="Aptos" w:hAnsi="Aptos"/>
      <w:b w:val="0"/>
      <w:i/>
      <w:iCs/>
      <w:color w:val="697782"/>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Text">
    <w:name w:val="OptionText"/>
    <w:basedOn w:val="Normal"/>
    <w:pPr>
      <w:spacing w:after="34"/>
      <w:ind w:left="259" w:hanging="259"/>
    </w:pPr>
  </w:style>
  <w:style w:type="paragraph" w:customStyle="1" w:styleId="Meta">
    <w:name w:val="Meta"/>
    <w:basedOn w:val="Normal"/>
    <w:pPr>
      <w:spacing w:after="40"/>
    </w:pPr>
    <w:rPr>
      <w:color w:val="697782"/>
      <w:sz w:val="16"/>
    </w:rPr>
  </w:style>
  <w:style w:type="paragraph" w:customStyle="1" w:styleId="Response">
    <w:name w:val="Response"/>
    <w:basedOn w:val="Normal"/>
    <w:pPr>
      <w:spacing w:before="80" w:after="140"/>
    </w:pPr>
    <w:rPr>
      <w:color w:val="6977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