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Kinase Assay Benchmark</w:t>
      </w:r>
    </w:p>
    <w:p>
      <w:pPr>
        <w:pStyle w:val="Subtitle"/>
      </w:pPr>
      <w:r>
        <w:t>20 questions  |  K1 / K2 / K3 / K6  |  Candidate booklet  |  Version 4</w:t>
      </w:r>
    </w:p>
    <w:p>
      <w:pPr>
        <w:pStyle w:val="Meta"/>
      </w:pPr>
      <w:r>
        <w:rPr>
          <w:b/>
        </w:rPr>
        <w:t xml:space="preserve">Scope. </w:t>
      </w:r>
      <w:r>
        <w:t>EGFR, CDK2, PRKACA, STK17B/DRAK2 and STK32B/YANK2. Technology-specific adaptations are hypothetical where indicated.</w:t>
      </w:r>
    </w:p>
    <w:p>
      <w:pPr>
        <w:pStyle w:val="Meta"/>
      </w:pPr>
      <w:r>
        <w:rPr>
          <w:b/>
        </w:rPr>
        <w:t xml:space="preserve">Instructions. </w:t>
      </w:r>
      <w:r>
        <w:t>Select ONE option for K1 and K2; select TWO for K3 and K6, except K6-02 (ONE). For K2, also supply a one-sentence scientific basis. Each question carries 2 points (40 in total).</w:t>
      </w:r>
    </w:p>
    <w:p>
      <w:pPr>
        <w:pStyle w:val="Meta"/>
      </w:pPr>
      <w:r>
        <w:rPr>
          <w:b/>
        </w:rPr>
        <w:t xml:space="preserve">Evidence boundary. </w:t>
      </w:r>
      <w:r>
        <w:t>A proposed assay tests biochemical compatibility, not target-specific validation. In K6, select only compounds experimentally reported in the specified study/formulation; other choices are not claims of universal non-interference.</w:t>
      </w:r>
    </w:p>
    <w:p>
      <w:pPr>
        <w:pStyle w:val="Heading1"/>
      </w:pPr>
      <w:r>
        <w:t>K1  |  Kinase-specific biochemical requirements and signal-generating species</w:t>
      </w:r>
    </w:p>
    <w:p>
      <w:pPr>
        <w:pStyle w:val="Meta"/>
      </w:pPr>
      <w:r>
        <w:t>Single-choice MCQ  •  5 × 2 points</w:t>
      </w:r>
    </w:p>
    <w:p>
      <w:pPr>
        <w:pStyle w:val="Heading2"/>
        <w:keepNext/>
      </w:pPr>
      <w:r>
        <w:t>K1-01  |  EGFR × phosphotyrosine immunodetection</w:t>
      </w:r>
    </w:p>
    <w:p>
      <w:pPr>
        <w:keepNext/>
      </w:pPr>
      <w:r>
        <w:t>EGF-stimulated full-length EGFR is incubated with MgATP and a validated tyrosine-containing peptide. After the reaction, the peptide fraction is selectively captured and probed with an anti-phosphotyrosine antibody. Which species is the intended activity-dependent analyte?</w:t>
      </w:r>
    </w:p>
    <w:p>
      <w:pPr>
        <w:pStyle w:val="OptionText"/>
        <w:keepNext/>
      </w:pPr>
      <w:r>
        <w:rPr>
          <w:b/>
        </w:rPr>
        <w:t xml:space="preserve">A.  </w:t>
      </w:r>
      <w:r>
        <w:t>Phosphorylated EGFR retained outside the captured peptide fraction.</w:t>
      </w:r>
    </w:p>
    <w:p>
      <w:pPr>
        <w:pStyle w:val="OptionText"/>
        <w:keepNext/>
      </w:pPr>
      <w:r>
        <w:rPr>
          <w:b/>
        </w:rPr>
        <w:t xml:space="preserve">B.  </w:t>
      </w:r>
      <w:r>
        <w:t>ADP present in the uncaptured nucleotide fraction.</w:t>
      </w:r>
    </w:p>
    <w:p>
      <w:pPr>
        <w:pStyle w:val="OptionText"/>
        <w:keepNext/>
      </w:pPr>
      <w:r>
        <w:rPr>
          <w:b/>
        </w:rPr>
        <w:t xml:space="preserve">C.  </w:t>
      </w:r>
      <w:r>
        <w:t>Tyrosine-phosphorylated peptide retained in the captured fraction.</w:t>
      </w:r>
    </w:p>
    <w:p>
      <w:pPr>
        <w:pStyle w:val="OptionText"/>
        <w:keepNext/>
      </w:pPr>
      <w:r>
        <w:rPr>
          <w:b/>
        </w:rPr>
        <w:t xml:space="preserve">D.  </w:t>
      </w:r>
      <w:r>
        <w:t>Unmodified tyrosine-containing peptide retained in the captured fraction.</w:t>
      </w:r>
    </w:p>
    <w:p>
      <w:pPr>
        <w:pStyle w:val="OptionText"/>
        <w:keepNext/>
      </w:pPr>
      <w:r>
        <w:rPr>
          <w:b/>
        </w:rPr>
        <w:t xml:space="preserve">E.  </w:t>
      </w:r>
      <w:r>
        <w:t>Inorganic phosphate released into the uncaptured supernatant.</w:t>
      </w:r>
    </w:p>
    <w:p>
      <w:pPr>
        <w:pStyle w:val="Response"/>
      </w:pPr>
      <w:r>
        <w:t>Response:  ________</w:t>
      </w:r>
    </w:p>
    <w:p>
      <w:pPr>
        <w:pStyle w:val="Heading2"/>
        <w:keepNext/>
      </w:pPr>
      <w:r>
        <w:t>K1-02  |  CDK2 × [γ-33P]ATP radiometric assay</w:t>
      </w:r>
    </w:p>
    <w:p>
      <w:pPr>
        <w:keepNext/>
      </w:pPr>
      <w:r>
        <w:t>Cyclin-A-bound CDK2 phosphorylated at Thr160 is incubated with histone H1, Mg2+ and [γ-33P]ATP. Histone H1 is separated from unincorporated nucleotide before counting. Which isolated species supplies the intended activity-dependent signal?</w:t>
      </w:r>
    </w:p>
    <w:p>
      <w:pPr>
        <w:pStyle w:val="OptionText"/>
        <w:keepNext/>
      </w:pPr>
      <w:r>
        <w:rPr>
          <w:b/>
        </w:rPr>
        <w:t xml:space="preserve">A.  </w:t>
      </w:r>
      <w:r>
        <w:t>Residual [γ-33P]ATP in the nucleotide-containing fraction.</w:t>
      </w:r>
    </w:p>
    <w:p>
      <w:pPr>
        <w:pStyle w:val="OptionText"/>
        <w:keepNext/>
      </w:pPr>
      <w:r>
        <w:rPr>
          <w:b/>
        </w:rPr>
        <w:t xml:space="preserve">B.  </w:t>
      </w:r>
      <w:r>
        <w:t>Histone H1 carrying covalently incorporated 33P from the γ-phosphate of ATP.</w:t>
      </w:r>
    </w:p>
    <w:p>
      <w:pPr>
        <w:pStyle w:val="OptionText"/>
        <w:keepNext/>
      </w:pPr>
      <w:r>
        <w:rPr>
          <w:b/>
        </w:rPr>
        <w:t xml:space="preserve">C.  </w:t>
      </w:r>
      <w:r>
        <w:t>Cyclin A associated with histone H1 after incubation.</w:t>
      </w:r>
    </w:p>
    <w:p>
      <w:pPr>
        <w:pStyle w:val="OptionText"/>
        <w:keepNext/>
      </w:pPr>
      <w:r>
        <w:rPr>
          <w:b/>
        </w:rPr>
        <w:t xml:space="preserve">D.  </w:t>
      </w:r>
      <w:r>
        <w:t>Histone H1 carrying 33P transferred from the α-phosphate of the supplied ATP tracer.</w:t>
      </w:r>
    </w:p>
    <w:p>
      <w:pPr>
        <w:pStyle w:val="OptionText"/>
        <w:keepNext/>
      </w:pPr>
      <w:r>
        <w:rPr>
          <w:b/>
        </w:rPr>
        <w:t xml:space="preserve">E.  </w:t>
      </w:r>
      <w:r>
        <w:t>Histone H1 with noncovalently adsorbed radiolabel rather than transferred phosphate.</w:t>
      </w:r>
    </w:p>
    <w:p>
      <w:pPr>
        <w:pStyle w:val="Response"/>
      </w:pPr>
      <w:r>
        <w:t>Response:  ________</w:t>
      </w:r>
    </w:p>
    <w:p>
      <w:pPr>
        <w:pStyle w:val="Heading2"/>
        <w:keepNext/>
      </w:pPr>
      <w:r>
        <w:t>K1-03  |  PRKACA × Kinase-Glo luminescence</w:t>
      </w:r>
    </w:p>
    <w:p>
      <w:pPr>
        <w:keepNext/>
      </w:pPr>
      <w:r>
        <w:t>Active PRKACA catalytic subunit is incubated with Kemptide (LRRASLG), MgATP and buffer. Kinase-Glo containing Ultra-Glo luciferase and luciferin is added after the kinase incubation. Which reaction species is the immediate analyte driving the assay luminescence?</w:t>
      </w:r>
    </w:p>
    <w:p>
      <w:pPr>
        <w:pStyle w:val="OptionText"/>
        <w:keepNext/>
      </w:pPr>
      <w:r>
        <w:rPr>
          <w:b/>
        </w:rPr>
        <w:t xml:space="preserve">A.  </w:t>
      </w:r>
      <w:r>
        <w:t>ADP generated during peptide phosphorylation.</w:t>
      </w:r>
    </w:p>
    <w:p>
      <w:pPr>
        <w:pStyle w:val="OptionText"/>
        <w:keepNext/>
      </w:pPr>
      <w:r>
        <w:rPr>
          <w:b/>
        </w:rPr>
        <w:t xml:space="preserve">B.  </w:t>
      </w:r>
      <w:r>
        <w:t>Inorganic phosphate released through nucleotide hydrolysis.</w:t>
      </w:r>
    </w:p>
    <w:p>
      <w:pPr>
        <w:pStyle w:val="OptionText"/>
        <w:keepNext/>
      </w:pPr>
      <w:r>
        <w:rPr>
          <w:b/>
        </w:rPr>
        <w:t xml:space="preserve">C.  </w:t>
      </w:r>
      <w:r>
        <w:t>Phosphorylated Kemptide formed by PRKACA.</w:t>
      </w:r>
    </w:p>
    <w:p>
      <w:pPr>
        <w:pStyle w:val="OptionText"/>
        <w:keepNext/>
      </w:pPr>
      <w:r>
        <w:rPr>
          <w:b/>
        </w:rPr>
        <w:t xml:space="preserve">D.  </w:t>
      </w:r>
      <w:r>
        <w:t>AMP present as a downstream nucleotide breakdown product.</w:t>
      </w:r>
    </w:p>
    <w:p>
      <w:pPr>
        <w:pStyle w:val="OptionText"/>
        <w:keepNext/>
      </w:pPr>
      <w:r>
        <w:rPr>
          <w:b/>
        </w:rPr>
        <w:t xml:space="preserve">E.  </w:t>
      </w:r>
      <w:r>
        <w:t>ATP remaining after the kinase incubation.</w:t>
      </w:r>
    </w:p>
    <w:p>
      <w:pPr>
        <w:pStyle w:val="Response"/>
      </w:pPr>
      <w:r>
        <w:t>Response:  ________</w:t>
      </w:r>
    </w:p>
    <w:p>
      <w:pPr>
        <w:pStyle w:val="Heading2"/>
        <w:keepNext/>
      </w:pPr>
      <w:r>
        <w:t>K1-04  |  STK17B × Sox-labelled peptide fluorescence</w:t>
      </w:r>
    </w:p>
    <w:p>
      <w:pPr>
        <w:keepNext/>
      </w:pPr>
      <w:r>
        <w:t>STK17B/DRAK2 is incubated with 1 mM ATP, 10 mM MgCl2 and the validated Sox-labelled substrate Ac-KKKKVKKRPQRADSD-C(Sox)-FA-amide in HEPES buffer at pH 7.5. Which molecular interaction underlies the phosphorylation-dependent fluorescence enhancement of this peptide?</w:t>
      </w:r>
    </w:p>
    <w:p>
      <w:pPr>
        <w:pStyle w:val="OptionText"/>
        <w:keepNext/>
      </w:pPr>
      <w:r>
        <w:rPr>
          <w:b/>
        </w:rPr>
        <w:t xml:space="preserve">A.  </w:t>
      </w:r>
      <w:r>
        <w:t>Mg2+ association with unphosphorylated ATP alone increases Sox emission regardless of substrate phosphorylation.</w:t>
      </w:r>
    </w:p>
    <w:p>
      <w:pPr>
        <w:pStyle w:val="OptionText"/>
        <w:keepNext/>
      </w:pPr>
      <w:r>
        <w:rPr>
          <w:b/>
        </w:rPr>
        <w:t xml:space="preserve">B.  </w:t>
      </w:r>
      <w:r>
        <w:t>STK17B phosphorylates the Sox chromophore directly, without modifying an amino-acid residue of the peptide.</w:t>
      </w:r>
    </w:p>
    <w:p>
      <w:pPr>
        <w:pStyle w:val="OptionText"/>
        <w:keepNext/>
      </w:pPr>
      <w:r>
        <w:rPr>
          <w:b/>
        </w:rPr>
        <w:t xml:space="preserve">C.  </w:t>
      </w:r>
      <w:r>
        <w:t>The Sox group is released from the peptide during phosphorylation and fluoresces as a free molecule.</w:t>
      </w:r>
    </w:p>
    <w:p>
      <w:pPr>
        <w:pStyle w:val="OptionText"/>
        <w:keepNext/>
      </w:pPr>
      <w:r>
        <w:rPr>
          <w:b/>
        </w:rPr>
        <w:t xml:space="preserve">D.  </w:t>
      </w:r>
      <w:r>
        <w:t>The new peptide phospho-group and adjacent Sox reporter cooperatively chelate Mg2+, enhancing fluorescence.</w:t>
      </w:r>
    </w:p>
    <w:p>
      <w:pPr>
        <w:pStyle w:val="OptionText"/>
        <w:keepNext/>
      </w:pPr>
      <w:r>
        <w:rPr>
          <w:b/>
        </w:rPr>
        <w:t xml:space="preserve">E.  </w:t>
      </w:r>
      <w:r>
        <w:t>A second fluorescent tag on the substrate accepts energy from Sox only after protease cleavage.</w:t>
      </w:r>
    </w:p>
    <w:p>
      <w:pPr>
        <w:pStyle w:val="Response"/>
      </w:pPr>
      <w:r>
        <w:t>Response:  ________</w:t>
      </w:r>
    </w:p>
    <w:p>
      <w:pPr>
        <w:pStyle w:val="Heading2"/>
        <w:keepNext/>
      </w:pPr>
      <w:r>
        <w:t>K1-05  |  STK32B × PK/LDH-coupled absorbance</w:t>
      </w:r>
    </w:p>
    <w:p>
      <w:pPr>
        <w:keepNext/>
      </w:pPr>
      <w:r>
        <w:t>In a proposed STK32B/YANK2 assay, myelin basic protein (20 µM) is incubated with MgATP (initially 10 µM ATP). ADP production is coupled to pyruvate kinase and lactate dehydrogenase in the presence of phosphoenolpyruvate, NADH and required cofactors. Absorbance is monitored at 340 nm. Which species is directly responsible for the activity-dependent loss of absorbance?</w:t>
      </w:r>
    </w:p>
    <w:p>
      <w:pPr>
        <w:pStyle w:val="OptionText"/>
        <w:keepNext/>
      </w:pPr>
      <w:r>
        <w:rPr>
          <w:b/>
        </w:rPr>
        <w:t xml:space="preserve">A.  </w:t>
      </w:r>
      <w:r>
        <w:t>NADH consumed during lactate-dehydrogenase turnover.</w:t>
      </w:r>
    </w:p>
    <w:p>
      <w:pPr>
        <w:pStyle w:val="OptionText"/>
        <w:keepNext/>
      </w:pPr>
      <w:r>
        <w:rPr>
          <w:b/>
        </w:rPr>
        <w:t xml:space="preserve">B.  </w:t>
      </w:r>
      <w:r>
        <w:t>Pyruvate generated in the pyruvate-kinase reaction.</w:t>
      </w:r>
    </w:p>
    <w:p>
      <w:pPr>
        <w:pStyle w:val="OptionText"/>
        <w:keepNext/>
      </w:pPr>
      <w:r>
        <w:rPr>
          <w:b/>
        </w:rPr>
        <w:t xml:space="preserve">C.  </w:t>
      </w:r>
      <w:r>
        <w:t>ATP regenerated from ADP by pyruvate kinase.</w:t>
      </w:r>
    </w:p>
    <w:p>
      <w:pPr>
        <w:pStyle w:val="OptionText"/>
        <w:keepNext/>
      </w:pPr>
      <w:r>
        <w:rPr>
          <w:b/>
        </w:rPr>
        <w:t xml:space="preserve">D.  </w:t>
      </w:r>
      <w:r>
        <w:t>NAD+ formed as the oxidized cofactor.</w:t>
      </w:r>
    </w:p>
    <w:p>
      <w:pPr>
        <w:pStyle w:val="OptionText"/>
        <w:keepNext/>
      </w:pPr>
      <w:r>
        <w:rPr>
          <w:b/>
        </w:rPr>
        <w:t xml:space="preserve">E.  </w:t>
      </w:r>
      <w:r>
        <w:t>ADP released by STK32B during phosphate transfer.</w:t>
      </w:r>
    </w:p>
    <w:p>
      <w:pPr>
        <w:pStyle w:val="Response"/>
      </w:pPr>
      <w:r>
        <w:t>Response:  ________</w:t>
      </w:r>
    </w:p>
    <w:p>
      <w:r>
        <w:br w:type="page"/>
      </w:r>
    </w:p>
    <w:p>
      <w:pPr>
        <w:pStyle w:val="Heading1"/>
      </w:pPr>
      <w:r>
        <w:t>K2  |  Kinase–measurement technology compatibility</w:t>
      </w:r>
    </w:p>
    <w:p>
      <w:pPr>
        <w:pStyle w:val="Meta"/>
      </w:pPr>
      <w:r>
        <w:t>Single-choice MCQ + one-sentence basis  •  5 × 2 points</w:t>
      </w:r>
    </w:p>
    <w:p>
      <w:pPr>
        <w:pStyle w:val="Heading2"/>
        <w:keepNext/>
      </w:pPr>
      <w:r>
        <w:t>K2-01  |  EGFR × GPCR radioligand displacement</w:t>
      </w:r>
    </w:p>
    <w:p>
      <w:pPr>
        <w:keepNext/>
      </w:pPr>
      <w:r>
        <w:t>An EGFR-containing preparation is examined in a conventional GPCR radioligand-displacement configuration. Competition for a labelled ligand is measured, with no kinase phosphoacceptor or phosphorylation-dependent detection step. Which statement correctly describes the catalytic information provided?</w:t>
      </w:r>
    </w:p>
    <w:p>
      <w:pPr>
        <w:pStyle w:val="OptionText"/>
        <w:keepNext/>
      </w:pPr>
      <w:r>
        <w:rPr>
          <w:b/>
        </w:rPr>
        <w:t xml:space="preserve">A.  </w:t>
      </w:r>
      <w:r>
        <w:t>Ligand displacement directly quantifies phosphate transfer when the receptor is activated.</w:t>
      </w:r>
    </w:p>
    <w:p>
      <w:pPr>
        <w:pStyle w:val="OptionText"/>
        <w:keepNext/>
      </w:pPr>
      <w:r>
        <w:rPr>
          <w:b/>
        </w:rPr>
        <w:t xml:space="preserve">B.  </w:t>
      </w:r>
      <w:r>
        <w:t>The readout reports ligand binding, not kinase turnover; a phosphorylation or validated coupled readout would be needed.</w:t>
      </w:r>
    </w:p>
    <w:p>
      <w:pPr>
        <w:pStyle w:val="OptionText"/>
        <w:keepNext/>
      </w:pPr>
      <w:r>
        <w:rPr>
          <w:b/>
        </w:rPr>
        <w:t xml:space="preserve">C.  </w:t>
      </w:r>
      <w:r>
        <w:t>Addition of EGF makes the same displacement signal proportional to the rate of EGFR phosphate transfer.</w:t>
      </w:r>
    </w:p>
    <w:p>
      <w:pPr>
        <w:pStyle w:val="OptionText"/>
        <w:keepNext/>
      </w:pPr>
      <w:r>
        <w:rPr>
          <w:b/>
        </w:rPr>
        <w:t xml:space="preserve">D.  </w:t>
      </w:r>
      <w:r>
        <w:t>Replacing Mg2+ with Ca2+ converts the competition readout into a catalytic assay.</w:t>
      </w:r>
    </w:p>
    <w:p>
      <w:pPr>
        <w:pStyle w:val="Response"/>
        <w:keepNext/>
      </w:pPr>
      <w:r>
        <w:t>Response:  ________</w:t>
      </w:r>
    </w:p>
    <w:p>
      <w:pPr>
        <w:pStyle w:val="Response"/>
      </w:pPr>
      <w:r>
        <w:t>Basis (one sentence):  ______________________________________________________________</w:t>
      </w:r>
    </w:p>
    <w:p>
      <w:pPr>
        <w:pStyle w:val="Heading2"/>
        <w:keepNext/>
      </w:pPr>
      <w:r>
        <w:t>K2-02  |  CDK2 × AlphaScreen phosphosubstrate detection</w:t>
      </w:r>
    </w:p>
    <w:p>
      <w:pPr>
        <w:keepNext/>
      </w:pPr>
      <w:r>
        <w:t>A CDK2 AlphaScreen format contains a biotinylated histone-H1-derived phosphoacceptor, streptavidin donor beads and a phospho-specific antibody on acceptor beads. Which detection event can support a catalytic-activity readout after activation state and reagents are validated?</w:t>
      </w:r>
    </w:p>
    <w:p>
      <w:pPr>
        <w:pStyle w:val="OptionText"/>
        <w:keepNext/>
      </w:pPr>
      <w:r>
        <w:rPr>
          <w:b/>
        </w:rPr>
        <w:t xml:space="preserve">A.  </w:t>
      </w:r>
      <w:r>
        <w:t>Donor–acceptor proximity generated when free ADP occupies streptavidin binding sites.</w:t>
      </w:r>
    </w:p>
    <w:p>
      <w:pPr>
        <w:pStyle w:val="OptionText"/>
        <w:keepNext/>
      </w:pPr>
      <w:r>
        <w:rPr>
          <w:b/>
        </w:rPr>
        <w:t xml:space="preserve">B.  </w:t>
      </w:r>
      <w:r>
        <w:t>Direct detection of ATP turnover by the donor bead without peptide recognition.</w:t>
      </w:r>
    </w:p>
    <w:p>
      <w:pPr>
        <w:pStyle w:val="OptionText"/>
        <w:keepNext/>
      </w:pPr>
      <w:r>
        <w:rPr>
          <w:b/>
        </w:rPr>
        <w:t xml:space="preserve">C.  </w:t>
      </w:r>
      <w:r>
        <w:t>Proteolytic release of a fluorescent fragment from the histone-H1-derived peptide.</w:t>
      </w:r>
    </w:p>
    <w:p>
      <w:pPr>
        <w:pStyle w:val="OptionText"/>
        <w:keepNext/>
      </w:pPr>
      <w:r>
        <w:rPr>
          <w:b/>
        </w:rPr>
        <w:t xml:space="preserve">D.  </w:t>
      </w:r>
      <w:r>
        <w:t>Bridging of beads by phosphorylated biotinylated substrate bound by the phospho-specific antibody.</w:t>
      </w:r>
    </w:p>
    <w:p>
      <w:pPr>
        <w:pStyle w:val="Response"/>
        <w:keepNext/>
      </w:pPr>
      <w:r>
        <w:t>Response:  ________</w:t>
      </w:r>
    </w:p>
    <w:p>
      <w:pPr>
        <w:pStyle w:val="Response"/>
      </w:pPr>
      <w:r>
        <w:t>Basis (one sentence):  ______________________________________________________________</w:t>
      </w:r>
    </w:p>
    <w:p>
      <w:pPr>
        <w:pStyle w:val="Heading2"/>
        <w:keepNext/>
      </w:pPr>
      <w:r>
        <w:t>K2-03  |  PRKACA × SPR binding sensor</w:t>
      </w:r>
    </w:p>
    <w:p>
      <w:pPr>
        <w:keepNext/>
      </w:pPr>
      <w:r>
        <w:t>A standard surface-plasmon-resonance experiment records PRKACA binding to an immobilized kinase inhibitor in response units. No ATP, Kemptide or phosphorylation-product readout is present. Which claim about the recorded response is supported?</w:t>
      </w:r>
    </w:p>
    <w:p>
      <w:pPr>
        <w:pStyle w:val="OptionText"/>
        <w:keepNext/>
      </w:pPr>
      <w:r>
        <w:rPr>
          <w:b/>
        </w:rPr>
        <w:t xml:space="preserve">A.  </w:t>
      </w:r>
      <w:r>
        <w:t>It provides binding information but does not itself measure catalytic phosphorylation rate in this configuration.</w:t>
      </w:r>
    </w:p>
    <w:p>
      <w:pPr>
        <w:pStyle w:val="OptionText"/>
        <w:keepNext/>
      </w:pPr>
      <w:r>
        <w:rPr>
          <w:b/>
        </w:rPr>
        <w:t xml:space="preserve">B.  </w:t>
      </w:r>
      <w:r>
        <w:t>The response-unit time course is a direct measurement of phosphate incorporation into Kemptide.</w:t>
      </w:r>
    </w:p>
    <w:p>
      <w:pPr>
        <w:pStyle w:val="OptionText"/>
        <w:keepNext/>
      </w:pPr>
      <w:r>
        <w:rPr>
          <w:b/>
        </w:rPr>
        <w:t xml:space="preserve">C.  </w:t>
      </w:r>
      <w:r>
        <w:t>The sensor measures the amount of ADP converted to ATP by luciferase.</w:t>
      </w:r>
    </w:p>
    <w:p>
      <w:pPr>
        <w:pStyle w:val="OptionText"/>
        <w:keepNext/>
      </w:pPr>
      <w:r>
        <w:rPr>
          <w:b/>
        </w:rPr>
        <w:t xml:space="preserve">D.  </w:t>
      </w:r>
      <w:r>
        <w:t>Occupancy of the inhibitor surface establishes the number of peptide phosphorylation events per second.</w:t>
      </w:r>
    </w:p>
    <w:p>
      <w:pPr>
        <w:pStyle w:val="Response"/>
        <w:keepNext/>
      </w:pPr>
      <w:r>
        <w:t>Response:  ________</w:t>
      </w:r>
    </w:p>
    <w:p>
      <w:pPr>
        <w:pStyle w:val="Response"/>
      </w:pPr>
      <w:r>
        <w:t>Basis (one sentence):  ______________________________________________________________</w:t>
      </w:r>
    </w:p>
    <w:p>
      <w:pPr>
        <w:pStyle w:val="Heading2"/>
        <w:keepNext/>
      </w:pPr>
      <w:r>
        <w:t>K2-04  |  STK17B × Z′-LYTE FRET</w:t>
      </w:r>
    </w:p>
    <w:p>
      <w:pPr>
        <w:keepNext/>
      </w:pPr>
      <w:r>
        <w:t>For STK17B, a Z′-LYTE format is proposed using a dual-labelled serine/threonine peptide and the development protease. The emission ratio is defined as 445 nm donor emission divided by 520 nm acceptor emission after 400 nm excitation. Which reference-control relationship would support a usable phosphorylation-dependent assay, if STK17B peptide turnover is independently validated?</w:t>
      </w:r>
    </w:p>
    <w:p>
      <w:pPr>
        <w:pStyle w:val="OptionText"/>
        <w:keepNext/>
      </w:pPr>
      <w:r>
        <w:rPr>
          <w:b/>
        </w:rPr>
        <w:t xml:space="preserve">A.  </w:t>
      </w:r>
      <w:r>
        <w:t>The 100% phosphorylated peptide should produce a higher ratio than the 0% phosphorylated peptide because phosphorylation promotes development cleavage.</w:t>
      </w:r>
    </w:p>
    <w:p>
      <w:pPr>
        <w:pStyle w:val="OptionText"/>
        <w:keepNext/>
      </w:pPr>
      <w:r>
        <w:rPr>
          <w:b/>
        </w:rPr>
        <w:t xml:space="preserve">B.  </w:t>
      </w:r>
      <w:r>
        <w:t>The 0% and 100% phosphorylation controls should produce identical ratios because FRET reports only enzyme–substrate binding.</w:t>
      </w:r>
    </w:p>
    <w:p>
      <w:pPr>
        <w:pStyle w:val="OptionText"/>
        <w:keepNext/>
      </w:pPr>
      <w:r>
        <w:rPr>
          <w:b/>
        </w:rPr>
        <w:t xml:space="preserve">C.  </w:t>
      </w:r>
      <w:r>
        <w:t>After development, the 100% phosphorylated peptide should have a lower ratio than the 0% phosphorylated peptide because phosphorylation protects against cleavage.</w:t>
      </w:r>
    </w:p>
    <w:p>
      <w:pPr>
        <w:pStyle w:val="OptionText"/>
        <w:keepNext/>
      </w:pPr>
      <w:r>
        <w:rPr>
          <w:b/>
        </w:rPr>
        <w:t xml:space="preserve">D.  </w:t>
      </w:r>
      <w:r>
        <w:t>Development should be omitted because phosphorylation alone necessarily splits the donor–acceptor fluorophore pair.</w:t>
      </w:r>
    </w:p>
    <w:p>
      <w:pPr>
        <w:pStyle w:val="Response"/>
        <w:keepNext/>
      </w:pPr>
      <w:r>
        <w:t>Response:  ________</w:t>
      </w:r>
    </w:p>
    <w:p>
      <w:pPr>
        <w:pStyle w:val="Response"/>
      </w:pPr>
      <w:r>
        <w:t>Basis (one sentence):  ______________________________________________________________</w:t>
      </w:r>
    </w:p>
    <w:p>
      <w:pPr>
        <w:pStyle w:val="Heading2"/>
        <w:keepNext/>
      </w:pPr>
      <w:r>
        <w:t>K2-05  |  STK32B × radiometric SPA</w:t>
      </w:r>
    </w:p>
    <w:p>
      <w:pPr>
        <w:keepNext/>
      </w:pPr>
      <w:r>
        <w:t>A proposed STK32B radiometric scintillation-proximity assay uses a validated biotinylated phosphoacceptor substrate, [γ-33P]ATP and streptavidin-coated SPA beads. The product fraction is captured after the kinase reaction. Which radioactive species provides a catalytic readout?</w:t>
      </w:r>
    </w:p>
    <w:p>
      <w:pPr>
        <w:pStyle w:val="OptionText"/>
        <w:keepNext/>
      </w:pPr>
      <w:r>
        <w:rPr>
          <w:b/>
        </w:rPr>
        <w:t xml:space="preserve">A.  </w:t>
      </w:r>
      <w:r>
        <w:t>Free [γ-33P]ATP remaining outside capture-proximity range.</w:t>
      </w:r>
    </w:p>
    <w:p>
      <w:pPr>
        <w:pStyle w:val="OptionText"/>
        <w:keepNext/>
      </w:pPr>
      <w:r>
        <w:rPr>
          <w:b/>
        </w:rPr>
        <w:t xml:space="preserve">B.  </w:t>
      </w:r>
      <w:r>
        <w:t>Biotinylated substrate carrying transferred 33P that is held near SPA beads.</w:t>
      </w:r>
    </w:p>
    <w:p>
      <w:pPr>
        <w:pStyle w:val="OptionText"/>
        <w:keepNext/>
      </w:pPr>
      <w:r>
        <w:rPr>
          <w:b/>
        </w:rPr>
        <w:t xml:space="preserve">C.  </w:t>
      </w:r>
      <w:r>
        <w:t>Biotinylated substrate containing the α-phosphate of ATP.</w:t>
      </w:r>
    </w:p>
    <w:p>
      <w:pPr>
        <w:pStyle w:val="OptionText"/>
        <w:keepNext/>
      </w:pPr>
      <w:r>
        <w:rPr>
          <w:b/>
        </w:rPr>
        <w:t xml:space="preserve">D.  </w:t>
      </w:r>
      <w:r>
        <w:t>The fraction of STK32B protein bound to a radiolabelled GPCR ligand.</w:t>
      </w:r>
    </w:p>
    <w:p>
      <w:pPr>
        <w:pStyle w:val="Response"/>
        <w:keepNext/>
      </w:pPr>
      <w:r>
        <w:t>Response:  ________</w:t>
      </w:r>
    </w:p>
    <w:p>
      <w:pPr>
        <w:pStyle w:val="Response"/>
      </w:pPr>
      <w:r>
        <w:t>Basis (one sentence):  ______________________________________________________________</w:t>
      </w:r>
    </w:p>
    <w:p>
      <w:r>
        <w:br w:type="page"/>
      </w:r>
    </w:p>
    <w:p>
      <w:pPr>
        <w:pStyle w:val="Heading1"/>
      </w:pPr>
      <w:r>
        <w:t>K3  |  Assay artifact identification and causes</w:t>
      </w:r>
    </w:p>
    <w:p>
      <w:pPr>
        <w:pStyle w:val="Meta"/>
      </w:pPr>
      <w:r>
        <w:t>Multiple-select MCQ  •  5 × 2 points</w:t>
      </w:r>
    </w:p>
    <w:p>
      <w:pPr>
        <w:pStyle w:val="Heading2"/>
        <w:keepNext/>
      </w:pPr>
      <w:r>
        <w:t>K3-01  |  PRKACA × Kinase-Glo assay artifacts</w:t>
      </w:r>
    </w:p>
    <w:p>
      <w:pPr>
        <w:keepNext/>
      </w:pPr>
      <w:r>
        <w:t>A PRKACA Kinase-Glo assay uses white 384-well plates. ATP-only control wells show a reproducible centre-to-edge luminescence gradient, while nominally dark wells beside bright wells register extra counts. Which TWO documented types of artifact best account for the control patterns?</w:t>
      </w:r>
    </w:p>
    <w:p>
      <w:pPr>
        <w:pStyle w:val="OptionText"/>
        <w:keepNext/>
      </w:pPr>
      <w:r>
        <w:rPr>
          <w:b/>
        </w:rPr>
        <w:t xml:space="preserve">A.  </w:t>
      </w:r>
      <w:r>
        <w:t>Variable phosphorylation of the Kemptide substrate in the ATP-only control wells.</w:t>
      </w:r>
    </w:p>
    <w:p>
      <w:pPr>
        <w:pStyle w:val="OptionText"/>
        <w:keepNext/>
      </w:pPr>
      <w:r>
        <w:rPr>
          <w:b/>
        </w:rPr>
        <w:t xml:space="preserve">B.  </w:t>
      </w:r>
      <w:r>
        <w:t>Incomplete temperature equilibration of plates or reagents.</w:t>
      </w:r>
    </w:p>
    <w:p>
      <w:pPr>
        <w:pStyle w:val="OptionText"/>
        <w:keepNext/>
      </w:pPr>
      <w:r>
        <w:rPr>
          <w:b/>
        </w:rPr>
        <w:t xml:space="preserve">C.  </w:t>
      </w:r>
      <w:r>
        <w:t>Variable PRKACA activation state in the ATP-only control wells.</w:t>
      </w:r>
    </w:p>
    <w:p>
      <w:pPr>
        <w:pStyle w:val="OptionText"/>
        <w:keepNext/>
      </w:pPr>
      <w:r>
        <w:rPr>
          <w:b/>
        </w:rPr>
        <w:t xml:space="preserve">D.  </w:t>
      </w:r>
      <w:r>
        <w:t>Loss of phosphate from the Kemptide substrate during incubation.</w:t>
      </w:r>
    </w:p>
    <w:p>
      <w:pPr>
        <w:pStyle w:val="OptionText"/>
        <w:keepNext/>
      </w:pPr>
      <w:r>
        <w:rPr>
          <w:b/>
        </w:rPr>
        <w:t xml:space="preserve">E.  </w:t>
      </w:r>
      <w:r>
        <w:t>Optical crosstalk between neighbouring wells during luminescence detection.</w:t>
      </w:r>
    </w:p>
    <w:p>
      <w:pPr>
        <w:pStyle w:val="Response"/>
      </w:pPr>
      <w:r>
        <w:t>Response:  ______________</w:t>
      </w:r>
    </w:p>
    <w:p>
      <w:pPr>
        <w:pStyle w:val="Heading2"/>
        <w:keepNext/>
      </w:pPr>
      <w:r>
        <w:t>K3-02  |  EGFR × Z′-LYTE FRET assay artifacts</w:t>
      </w:r>
    </w:p>
    <w:p>
      <w:pPr>
        <w:keepNext/>
      </w:pPr>
      <w:r>
        <w:t>In a validated EGFR tyrosine-peptide Z′-LYTE format, synthetic 0% and 100% phosphorylation standards show nearly the same donor/acceptor ratio after development. Which TWO technical failures are known to collapse the reference-control separation?</w:t>
      </w:r>
    </w:p>
    <w:p>
      <w:pPr>
        <w:pStyle w:val="OptionText"/>
        <w:keepNext/>
      </w:pPr>
      <w:r>
        <w:rPr>
          <w:b/>
        </w:rPr>
        <w:t xml:space="preserve">A.  </w:t>
      </w:r>
      <w:r>
        <w:t>An incorrect dilution of development protease.</w:t>
      </w:r>
    </w:p>
    <w:p>
      <w:pPr>
        <w:pStyle w:val="OptionText"/>
        <w:keepNext/>
      </w:pPr>
      <w:r>
        <w:rPr>
          <w:b/>
        </w:rPr>
        <w:t xml:space="preserve">B.  </w:t>
      </w:r>
      <w:r>
        <w:t>Insufficient EGFR activation by EGF in a separate kinase reaction.</w:t>
      </w:r>
    </w:p>
    <w:p>
      <w:pPr>
        <w:pStyle w:val="OptionText"/>
        <w:keepNext/>
      </w:pPr>
      <w:r>
        <w:rPr>
          <w:b/>
        </w:rPr>
        <w:t xml:space="preserve">C.  </w:t>
      </w:r>
      <w:r>
        <w:t>Insufficient ATP in a separate EGFR phosphorylation reaction.</w:t>
      </w:r>
    </w:p>
    <w:p>
      <w:pPr>
        <w:pStyle w:val="OptionText"/>
        <w:keepNext/>
      </w:pPr>
      <w:r>
        <w:rPr>
          <w:b/>
        </w:rPr>
        <w:t xml:space="preserve">D.  </w:t>
      </w:r>
      <w:r>
        <w:t>An incorrect fluorescence channel or reader configuration.</w:t>
      </w:r>
    </w:p>
    <w:p>
      <w:pPr>
        <w:pStyle w:val="OptionText"/>
        <w:keepNext/>
      </w:pPr>
      <w:r>
        <w:rPr>
          <w:b/>
        </w:rPr>
        <w:t xml:space="preserve">E.  </w:t>
      </w:r>
      <w:r>
        <w:t>Phosphorylation of the assay substrate by EGFR below the expected rate.</w:t>
      </w:r>
    </w:p>
    <w:p>
      <w:pPr>
        <w:pStyle w:val="Response"/>
      </w:pPr>
      <w:r>
        <w:t>Response:  ______________</w:t>
      </w:r>
    </w:p>
    <w:p>
      <w:pPr>
        <w:pStyle w:val="Heading2"/>
        <w:keepNext/>
      </w:pPr>
      <w:r>
        <w:t>K3-03  |  STK32B × AlphaScreen assay artifacts</w:t>
      </w:r>
    </w:p>
    <w:p>
      <w:pPr>
        <w:keepNext/>
      </w:pPr>
      <w:r>
        <w:t>An STK32B AlphaScreen phosphorylation assay uses a validated biotinylated substrate and phospho-specific antibody. Signal first rises but falls as the substrate concentration becomes high. A second donor-bead aliquot gives weaker positive-control signals after extended handling under room lighting. Which TWO known AlphaScreen effects fit these patterns?</w:t>
      </w:r>
    </w:p>
    <w:p>
      <w:pPr>
        <w:pStyle w:val="OptionText"/>
        <w:keepNext/>
      </w:pPr>
      <w:r>
        <w:rPr>
          <w:b/>
        </w:rPr>
        <w:t xml:space="preserve">A.  </w:t>
      </w:r>
      <w:r>
        <w:t>A fixed, plate-wide decrease in acceptor-antibody affinity irrespective of substrate concentration.</w:t>
      </w:r>
    </w:p>
    <w:p>
      <w:pPr>
        <w:pStyle w:val="OptionText"/>
        <w:keepNext/>
      </w:pPr>
      <w:r>
        <w:rPr>
          <w:b/>
        </w:rPr>
        <w:t xml:space="preserve">B.  </w:t>
      </w:r>
      <w:r>
        <w:t>Greater donor-bead emission caused by longer illumination of the bead stock.</w:t>
      </w:r>
    </w:p>
    <w:p>
      <w:pPr>
        <w:pStyle w:val="OptionText"/>
        <w:keepNext/>
      </w:pPr>
      <w:r>
        <w:rPr>
          <w:b/>
        </w:rPr>
        <w:t xml:space="preserve">C.  </w:t>
      </w:r>
      <w:r>
        <w:t>A high-dose hook effect from excess analyte relative to bead-bridging capacity.</w:t>
      </w:r>
    </w:p>
    <w:p>
      <w:pPr>
        <w:pStyle w:val="OptionText"/>
        <w:keepNext/>
      </w:pPr>
      <w:r>
        <w:rPr>
          <w:b/>
        </w:rPr>
        <w:t xml:space="preserve">D.  </w:t>
      </w:r>
      <w:r>
        <w:t>Substrate-independent quenching of donor-bead singlet oxygen equally across every titration well.</w:t>
      </w:r>
    </w:p>
    <w:p>
      <w:pPr>
        <w:pStyle w:val="OptionText"/>
        <w:keepNext/>
      </w:pPr>
      <w:r>
        <w:rPr>
          <w:b/>
        </w:rPr>
        <w:t xml:space="preserve">E.  </w:t>
      </w:r>
      <w:r>
        <w:t>Photosensitivity or photodamage of donor beads.</w:t>
      </w:r>
    </w:p>
    <w:p>
      <w:pPr>
        <w:pStyle w:val="Response"/>
      </w:pPr>
      <w:r>
        <w:t>Response:  ______________</w:t>
      </w:r>
    </w:p>
    <w:p>
      <w:pPr>
        <w:pStyle w:val="Heading2"/>
        <w:keepNext/>
      </w:pPr>
      <w:r>
        <w:t>K3-04  |  STK17B × Amplex Red/HRP assay artifacts</w:t>
      </w:r>
    </w:p>
    <w:p>
      <w:pPr>
        <w:keepNext/>
      </w:pPr>
      <w:r>
        <w:t>A proposed STK17B assay couples nucleotide turnover to H2O2 formation and uses Amplex Red/HRP detection. In a reporter-only study, an illuminated Amplex Red blank gains resorufin-like fluorescence without added H2O2 or HRP while a dark-matched blank remains low; separately, preformed resorufin loses fluorescence in an HRP reaction containing excess H2O2. Which TWO chemical processes have been documented for these conditions?</w:t>
      </w:r>
    </w:p>
    <w:p>
      <w:pPr>
        <w:pStyle w:val="OptionText"/>
        <w:keepNext/>
      </w:pPr>
      <w:r>
        <w:rPr>
          <w:b/>
        </w:rPr>
        <w:t xml:space="preserve">A.  </w:t>
      </w:r>
      <w:r>
        <w:t>A spontaneous light-independent conversion of Amplex Red that proceeds equally in dark and illuminated blanks.</w:t>
      </w:r>
    </w:p>
    <w:p>
      <w:pPr>
        <w:pStyle w:val="OptionText"/>
        <w:keepNext/>
      </w:pPr>
      <w:r>
        <w:rPr>
          <w:b/>
        </w:rPr>
        <w:t xml:space="preserve">B.  </w:t>
      </w:r>
      <w:r>
        <w:t>Photooxidation of Amplex Red into resorufin in the blank.</w:t>
      </w:r>
    </w:p>
    <w:p>
      <w:pPr>
        <w:pStyle w:val="OptionText"/>
        <w:keepNext/>
      </w:pPr>
      <w:r>
        <w:rPr>
          <w:b/>
        </w:rPr>
        <w:t xml:space="preserve">C.  </w:t>
      </w:r>
      <w:r>
        <w:t>Reduction of resorufin back to Amplex Red by HRP under excess H2O2.</w:t>
      </w:r>
    </w:p>
    <w:p>
      <w:pPr>
        <w:pStyle w:val="OptionText"/>
        <w:keepNext/>
      </w:pPr>
      <w:r>
        <w:rPr>
          <w:b/>
        </w:rPr>
        <w:t xml:space="preserve">D.  </w:t>
      </w:r>
      <w:r>
        <w:t>Further HRP-associated oxidation of resorufin to nonfluorescent products at high peroxide.</w:t>
      </w:r>
    </w:p>
    <w:p>
      <w:pPr>
        <w:pStyle w:val="OptionText"/>
        <w:keepNext/>
      </w:pPr>
      <w:r>
        <w:rPr>
          <w:b/>
        </w:rPr>
        <w:t xml:space="preserve">E.  </w:t>
      </w:r>
      <w:r>
        <w:t>A change in resorufin fluorescence caused solely by increased NAD+ production in the detector-only controls.</w:t>
      </w:r>
    </w:p>
    <w:p>
      <w:pPr>
        <w:pStyle w:val="Response"/>
      </w:pPr>
      <w:r>
        <w:t>Response:  ______________</w:t>
      </w:r>
    </w:p>
    <w:p>
      <w:pPr>
        <w:pStyle w:val="Heading2"/>
        <w:keepNext/>
      </w:pPr>
      <w:r>
        <w:t>K3-05  |  CDK2 × radiometric SPA assay artifacts</w:t>
      </w:r>
    </w:p>
    <w:p>
      <w:pPr>
        <w:keepNext/>
      </w:pPr>
      <w:r>
        <w:t>A CDK2 assay uses [γ-33P]ATP, a biotinylated peptide substrate and suspended streptavidin SPA beads. Residual counts occur in no-kinase wells, and the imaging signal varies when bead mixing or settling differs between wells. Which TWO technical effects are consistent with this readout?</w:t>
      </w:r>
    </w:p>
    <w:p>
      <w:pPr>
        <w:pStyle w:val="OptionText"/>
        <w:keepNext/>
      </w:pPr>
      <w:r>
        <w:rPr>
          <w:b/>
        </w:rPr>
        <w:t xml:space="preserve">A.  </w:t>
      </w:r>
      <w:r>
        <w:t>Non-proximity background from free radiotracer under conditions permitting residual counts.</w:t>
      </w:r>
    </w:p>
    <w:p>
      <w:pPr>
        <w:pStyle w:val="OptionText"/>
        <w:keepNext/>
      </w:pPr>
      <w:r>
        <w:rPr>
          <w:b/>
        </w:rPr>
        <w:t xml:space="preserve">B.  </w:t>
      </w:r>
      <w:r>
        <w:t>Radioactive phosphate transfer by CDK2 in wells containing no kinase.</w:t>
      </w:r>
    </w:p>
    <w:p>
      <w:pPr>
        <w:pStyle w:val="OptionText"/>
        <w:keepNext/>
      </w:pPr>
      <w:r>
        <w:rPr>
          <w:b/>
        </w:rPr>
        <w:t xml:space="preserve">C.  </w:t>
      </w:r>
      <w:r>
        <w:t>Nonuniform suspension or settling of scintillation beads before imaging.</w:t>
      </w:r>
    </w:p>
    <w:p>
      <w:pPr>
        <w:pStyle w:val="OptionText"/>
        <w:keepNext/>
      </w:pPr>
      <w:r>
        <w:rPr>
          <w:b/>
        </w:rPr>
        <w:t xml:space="preserve">D.  </w:t>
      </w:r>
      <w:r>
        <w:t>Fluorescence transfer between coumarin and fluorescein on the captured peptide.</w:t>
      </w:r>
    </w:p>
    <w:p>
      <w:pPr>
        <w:pStyle w:val="OptionText"/>
        <w:keepNext/>
      </w:pPr>
      <w:r>
        <w:rPr>
          <w:b/>
        </w:rPr>
        <w:t xml:space="preserve">E.  </w:t>
      </w:r>
      <w:r>
        <w:t>Luminescence from an ATP-dependent luciferase present in the specified SPA configuration.</w:t>
      </w:r>
    </w:p>
    <w:p>
      <w:pPr>
        <w:pStyle w:val="Response"/>
      </w:pPr>
      <w:r>
        <w:t>Response:  ______________</w:t>
      </w:r>
    </w:p>
    <w:p>
      <w:r>
        <w:br w:type="page"/>
      </w:r>
    </w:p>
    <w:p>
      <w:pPr>
        <w:pStyle w:val="Heading1"/>
      </w:pPr>
      <w:r>
        <w:t>K6  |  Compound-associated assay interference</w:t>
      </w:r>
    </w:p>
    <w:p>
      <w:pPr>
        <w:pStyle w:val="Meta"/>
      </w:pPr>
      <w:r>
        <w:t>Multiple-select MCQ; K6-02 is single-select  •  5 × 2 points</w:t>
      </w:r>
    </w:p>
    <w:p>
      <w:pPr>
        <w:pStyle w:val="Heading2"/>
        <w:keepNext/>
      </w:pPr>
      <w:r>
        <w:t>K6-01  |  STK32B × Kinase-Glo compound interference</w:t>
      </w:r>
    </w:p>
    <w:p>
      <w:pPr>
        <w:keepNext/>
      </w:pPr>
      <w:r>
        <w:t>In a proposed STK32B assay read with the original commercial Kinase-Glo Ultra-Glo formulation, consider compound-specific results for that formulated reagent in Tables 3 and 4 of Auld et al. (2009), not activity against purified luciferase. Which TWO substances were reported to inhibit the formulated detection reaction?</w:t>
      </w:r>
    </w:p>
    <w:p>
      <w:pPr>
        <w:pStyle w:val="OptionText"/>
        <w:keepNext/>
      </w:pPr>
      <w:r>
        <w:rPr>
          <w:b/>
        </w:rPr>
        <w:t xml:space="preserve">A.  </w:t>
      </w:r>
      <w:r>
        <w:t>3,5-Diaryl-oxadiazole analogue 2d.</w:t>
      </w:r>
    </w:p>
    <w:p>
      <w:pPr>
        <w:pStyle w:val="OptionText"/>
        <w:keepNext/>
      </w:pPr>
      <w:r>
        <w:rPr>
          <w:b/>
        </w:rPr>
        <w:t xml:space="preserve">B.  </w:t>
      </w:r>
      <w:r>
        <w:t>3,5-Diaryl-oxadiazole analogue 2l (lowercase letter l).</w:t>
      </w:r>
    </w:p>
    <w:p>
      <w:pPr>
        <w:pStyle w:val="OptionText"/>
        <w:keepNext/>
      </w:pPr>
      <w:r>
        <w:rPr>
          <w:b/>
        </w:rPr>
        <w:t xml:space="preserve">C.  </w:t>
      </w:r>
      <w:r>
        <w:t>Free biotin.</w:t>
      </w:r>
    </w:p>
    <w:p>
      <w:pPr>
        <w:pStyle w:val="OptionText"/>
        <w:keepNext/>
      </w:pPr>
      <w:r>
        <w:rPr>
          <w:b/>
        </w:rPr>
        <w:t xml:space="preserve">D.  </w:t>
      </w:r>
      <w:r>
        <w:t>3,5-Diaryl-oxadiazole analogue 2e.</w:t>
      </w:r>
    </w:p>
    <w:p>
      <w:pPr>
        <w:pStyle w:val="OptionText"/>
        <w:keepNext/>
      </w:pPr>
      <w:r>
        <w:rPr>
          <w:b/>
        </w:rPr>
        <w:t xml:space="preserve">E.  </w:t>
      </w:r>
      <w:r>
        <w:t>2-Phenylbenzothiazole analogue 7i.</w:t>
      </w:r>
    </w:p>
    <w:p>
      <w:pPr>
        <w:pStyle w:val="Response"/>
      </w:pPr>
      <w:r>
        <w:t>Response:  ______________</w:t>
      </w:r>
    </w:p>
    <w:p>
      <w:pPr>
        <w:pStyle w:val="Heading2"/>
        <w:keepNext/>
      </w:pPr>
      <w:r>
        <w:t>K6-02  |  EGFR × Z′-LYTE fluorescence interference</w:t>
      </w:r>
    </w:p>
    <w:p>
      <w:pPr>
        <w:keepNext/>
      </w:pPr>
      <w:r>
        <w:t>An EGFR assay uses Z′-LYTE fluorescence detection at approximately 400 nm excitation and 445/520 nm emission. Use the compound-specific fluorescence-control findings in Brown et al. (2013). Which ONE listed substance or tested group generated a reported interference signal?</w:t>
      </w:r>
    </w:p>
    <w:p>
      <w:pPr>
        <w:pStyle w:val="OptionText"/>
        <w:keepNext/>
      </w:pPr>
      <w:r>
        <w:rPr>
          <w:b/>
        </w:rPr>
        <w:t xml:space="preserve">A.  </w:t>
      </w:r>
      <w:r>
        <w:t>The monocarbonyl curcumin analogues collectively tested up to 50 µM.</w:t>
      </w:r>
    </w:p>
    <w:p>
      <w:pPr>
        <w:pStyle w:val="OptionText"/>
        <w:keepNext/>
      </w:pPr>
      <w:r>
        <w:rPr>
          <w:b/>
        </w:rPr>
        <w:t xml:space="preserve">B.  </w:t>
      </w:r>
      <w:r>
        <w:t>3,5-Diaryl-oxadiazole analogue 2d.</w:t>
      </w:r>
    </w:p>
    <w:p>
      <w:pPr>
        <w:pStyle w:val="OptionText"/>
        <w:keepNext/>
      </w:pPr>
      <w:r>
        <w:rPr>
          <w:b/>
        </w:rPr>
        <w:t xml:space="preserve">C.  </w:t>
      </w:r>
      <w:r>
        <w:t>Curcumin.</w:t>
      </w:r>
    </w:p>
    <w:p>
      <w:pPr>
        <w:pStyle w:val="OptionText"/>
        <w:keepNext/>
      </w:pPr>
      <w:r>
        <w:rPr>
          <w:b/>
        </w:rPr>
        <w:t xml:space="preserve">D.  </w:t>
      </w:r>
      <w:r>
        <w:t>Free biotin.</w:t>
      </w:r>
    </w:p>
    <w:p>
      <w:pPr>
        <w:pStyle w:val="OptionText"/>
        <w:keepNext/>
      </w:pPr>
      <w:r>
        <w:rPr>
          <w:b/>
        </w:rPr>
        <w:t xml:space="preserve">E.  </w:t>
      </w:r>
      <w:r>
        <w:t>Sodium azide.</w:t>
      </w:r>
    </w:p>
    <w:p>
      <w:pPr>
        <w:pStyle w:val="Response"/>
      </w:pPr>
      <w:r>
        <w:t>Response:  ________</w:t>
      </w:r>
    </w:p>
    <w:p>
      <w:pPr>
        <w:pStyle w:val="Heading2"/>
        <w:keepNext/>
      </w:pPr>
      <w:r>
        <w:t>K6-03  |  PRKACA × AlphaScreen compound interference</w:t>
      </w:r>
    </w:p>
    <w:p>
      <w:pPr>
        <w:keepNext/>
      </w:pPr>
      <w:r>
        <w:t>A PRKACA phosphopeptide readout is proposed using AlphaScreen. Restrict the selection to experimentally tabulated AlphaScreen detection interferents in the NIH Assay Guidance Manual. Which TWO listed substances meet this criterion?</w:t>
      </w:r>
    </w:p>
    <w:p>
      <w:pPr>
        <w:pStyle w:val="OptionText"/>
        <w:keepNext/>
      </w:pPr>
      <w:r>
        <w:rPr>
          <w:b/>
        </w:rPr>
        <w:t xml:space="preserve">A.  </w:t>
      </w:r>
      <w:r>
        <w:t>H-89.</w:t>
      </w:r>
    </w:p>
    <w:p>
      <w:pPr>
        <w:pStyle w:val="OptionText"/>
        <w:keepNext/>
      </w:pPr>
      <w:r>
        <w:rPr>
          <w:b/>
        </w:rPr>
        <w:t xml:space="preserve">B.  </w:t>
      </w:r>
      <w:r>
        <w:t>Trypan blue.</w:t>
      </w:r>
    </w:p>
    <w:p>
      <w:pPr>
        <w:pStyle w:val="OptionText"/>
        <w:keepNext/>
      </w:pPr>
      <w:r>
        <w:rPr>
          <w:b/>
        </w:rPr>
        <w:t xml:space="preserve">C.  </w:t>
      </w:r>
      <w:r>
        <w:t>Gallic acid.</w:t>
      </w:r>
    </w:p>
    <w:p>
      <w:pPr>
        <w:pStyle w:val="OptionText"/>
        <w:keepNext/>
      </w:pPr>
      <w:r>
        <w:rPr>
          <w:b/>
        </w:rPr>
        <w:t xml:space="preserve">D.  </w:t>
      </w:r>
      <w:r>
        <w:t>3,5-Diaryl-oxadiazole analogue 2e.</w:t>
      </w:r>
    </w:p>
    <w:p>
      <w:pPr>
        <w:pStyle w:val="OptionText"/>
        <w:keepNext/>
      </w:pPr>
      <w:r>
        <w:rPr>
          <w:b/>
        </w:rPr>
        <w:t xml:space="preserve">E.  </w:t>
      </w:r>
      <w:r>
        <w:t>Sodium azide.</w:t>
      </w:r>
    </w:p>
    <w:p>
      <w:pPr>
        <w:pStyle w:val="Response"/>
      </w:pPr>
      <w:r>
        <w:t>Response:  ______________</w:t>
      </w:r>
    </w:p>
    <w:p>
      <w:pPr>
        <w:pStyle w:val="Heading2"/>
        <w:keepNext/>
      </w:pPr>
      <w:r>
        <w:t>K6-04  |  CDK2 × Amplex Red/HRP compound interference</w:t>
      </w:r>
    </w:p>
    <w:p>
      <w:pPr>
        <w:keepNext/>
      </w:pPr>
      <w:r>
        <w:t>A CDK2 assay couples turnover through pyruvate kinase/pyruvate oxidase to Amplex Red/HRP fluorescence. Use the phenolic-compound interference measurements published by Serrano et al. (2009). Which TWO substances were experimentally reported to alter this detection signal?</w:t>
      </w:r>
    </w:p>
    <w:p>
      <w:pPr>
        <w:pStyle w:val="OptionText"/>
        <w:keepNext/>
      </w:pPr>
      <w:r>
        <w:rPr>
          <w:b/>
        </w:rPr>
        <w:t xml:space="preserve">A.  </w:t>
      </w:r>
      <w:r>
        <w:t>Gallic acid.</w:t>
      </w:r>
    </w:p>
    <w:p>
      <w:pPr>
        <w:pStyle w:val="OptionText"/>
        <w:keepNext/>
      </w:pPr>
      <w:r>
        <w:rPr>
          <w:b/>
        </w:rPr>
        <w:t xml:space="preserve">B.  </w:t>
      </w:r>
      <w:r>
        <w:t>Free biotin.</w:t>
      </w:r>
    </w:p>
    <w:p>
      <w:pPr>
        <w:pStyle w:val="OptionText"/>
        <w:keepNext/>
      </w:pPr>
      <w:r>
        <w:rPr>
          <w:b/>
        </w:rPr>
        <w:t xml:space="preserve">C.  </w:t>
      </w:r>
      <w:r>
        <w:t>Quercetin.</w:t>
      </w:r>
    </w:p>
    <w:p>
      <w:pPr>
        <w:pStyle w:val="OptionText"/>
        <w:keepNext/>
      </w:pPr>
      <w:r>
        <w:rPr>
          <w:b/>
        </w:rPr>
        <w:t xml:space="preserve">D.  </w:t>
      </w:r>
      <w:r>
        <w:t>3,5-Diaryl-oxadiazole analogue 2d.</w:t>
      </w:r>
    </w:p>
    <w:p>
      <w:pPr>
        <w:pStyle w:val="OptionText"/>
        <w:keepNext/>
      </w:pPr>
      <w:r>
        <w:rPr>
          <w:b/>
        </w:rPr>
        <w:t xml:space="preserve">E.  </w:t>
      </w:r>
      <w:r>
        <w:t>Curcumin.</w:t>
      </w:r>
    </w:p>
    <w:p>
      <w:pPr>
        <w:pStyle w:val="Response"/>
      </w:pPr>
      <w:r>
        <w:t>Response:  ______________</w:t>
      </w:r>
    </w:p>
    <w:p>
      <w:pPr>
        <w:pStyle w:val="Heading2"/>
        <w:keepNext/>
      </w:pPr>
      <w:r>
        <w:t>K6-05  |  PRKACA × radiometric SPA compound interference</w:t>
      </w:r>
    </w:p>
    <w:p>
      <w:pPr>
        <w:keepNext/>
      </w:pPr>
      <w:r>
        <w:t>A proposed PRKACA radiometric SPA assay captures a biotinylated 33P-phosphorylated peptide on streptavidin scintillation-proximity beads. Restrict answers to interference observed in a related methyltransferase SPA study with the same capture architecture (Ibáñez et al., 2012). Which TWO substances were reported?</w:t>
      </w:r>
    </w:p>
    <w:p>
      <w:pPr>
        <w:pStyle w:val="OptionText"/>
        <w:keepNext/>
      </w:pPr>
      <w:r>
        <w:rPr>
          <w:b/>
        </w:rPr>
        <w:t xml:space="preserve">A.  </w:t>
      </w:r>
      <w:r>
        <w:t>Curcumin.</w:t>
      </w:r>
    </w:p>
    <w:p>
      <w:pPr>
        <w:pStyle w:val="OptionText"/>
        <w:keepNext/>
      </w:pPr>
      <w:r>
        <w:rPr>
          <w:b/>
        </w:rPr>
        <w:t xml:space="preserve">B.  </w:t>
      </w:r>
      <w:r>
        <w:t>Quercetin.</w:t>
      </w:r>
    </w:p>
    <w:p>
      <w:pPr>
        <w:pStyle w:val="OptionText"/>
        <w:keepNext/>
      </w:pPr>
      <w:r>
        <w:rPr>
          <w:b/>
        </w:rPr>
        <w:t xml:space="preserve">C.  </w:t>
      </w:r>
      <w:r>
        <w:t>3,5-Diaryl-oxadiazole analogue 2d.</w:t>
      </w:r>
    </w:p>
    <w:p>
      <w:pPr>
        <w:pStyle w:val="OptionText"/>
        <w:keepNext/>
      </w:pPr>
      <w:r>
        <w:rPr>
          <w:b/>
        </w:rPr>
        <w:t xml:space="preserve">D.  </w:t>
      </w:r>
      <w:r>
        <w:t>Free biotin.</w:t>
      </w:r>
    </w:p>
    <w:p>
      <w:pPr>
        <w:pStyle w:val="OptionText"/>
        <w:keepNext/>
      </w:pPr>
      <w:r>
        <w:rPr>
          <w:b/>
        </w:rPr>
        <w:t xml:space="preserve">E.  </w:t>
      </w:r>
      <w:r>
        <w:t>Gentian violet.</w:t>
      </w:r>
    </w:p>
    <w:p>
      <w:pPr>
        <w:pStyle w:val="Response"/>
      </w:pPr>
      <w:r>
        <w:t>Response:  ______________</w:t>
      </w:r>
    </w:p>
    <w:sectPr w:rsidR="00FC693F" w:rsidRPr="0006063C" w:rsidSect="00034616">
      <w:headerReference w:type="default" r:id="rId9"/>
      <w:footerReference w:type="default" r:id="rId10"/>
      <w:pgSz w:w="12240" w:h="15840"/>
      <w:pgMar w:top="965" w:right="1123" w:bottom="907"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782"/>
        <w:sz w:val="16"/>
      </w:rPr>
      <w:t xml:space="preserve">V4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7782"/>
        <w:sz w:val="15"/>
      </w:rPr>
      <w:t>KINASE ASSAY BENCHMARK   /   CANDIDATE BOOKLET   /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31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6771"/>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314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80"/>
      <w:contextualSpacing/>
    </w:pPr>
    <w:rPr>
      <w:rFonts w:asciiTheme="majorHAnsi" w:eastAsiaTheme="majorEastAsia" w:hAnsiTheme="majorHAnsi" w:cstheme="majorBidi" w:ascii="Aptos Display" w:hAnsi="Aptos Display"/>
      <w:b/>
      <w:color w:val="1F314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00"/>
    </w:pPr>
    <w:rPr>
      <w:rFonts w:asciiTheme="majorHAnsi" w:eastAsiaTheme="majorEastAsia" w:hAnsiTheme="majorHAnsi" w:cstheme="majorBidi" w:ascii="Aptos" w:hAnsi="Aptos"/>
      <w:b w:val="0"/>
      <w:i/>
      <w:iCs/>
      <w:color w:val="697782"/>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Text">
    <w:name w:val="OptionText"/>
    <w:basedOn w:val="Normal"/>
    <w:pPr>
      <w:spacing w:after="34"/>
      <w:ind w:left="259" w:hanging="259"/>
    </w:pPr>
  </w:style>
  <w:style w:type="paragraph" w:customStyle="1" w:styleId="Meta">
    <w:name w:val="Meta"/>
    <w:basedOn w:val="Normal"/>
    <w:pPr>
      <w:spacing w:after="80"/>
    </w:pPr>
    <w:rPr>
      <w:color w:val="697782"/>
      <w:sz w:val="17"/>
    </w:rPr>
  </w:style>
  <w:style w:type="paragraph" w:customStyle="1" w:styleId="Response">
    <w:name w:val="Response"/>
    <w:basedOn w:val="Normal"/>
    <w:pPr>
      <w:spacing w:before="80" w:after="140"/>
    </w:pPr>
    <w:rPr>
      <w:color w:val="6977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