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Development and evidence audit of an integrated maternal–fetal informatics prototype for gestational diabetes modeling and fetal ultrasound biometry</w:t>
      </w:r>
    </w:p>
    <w:p>
      <w:pPr>
        <w:jc w:val="center"/>
      </w:pPr>
      <w:r>
        <w:t>Research article | Manuscript prepared for BMC Medical Informatics and Decision Making</w:t>
      </w:r>
    </w:p>
    <w:p>
      <w:pPr>
        <w:jc w:val="center"/>
      </w:pPr>
      <w:r>
        <w:t>[Author names and affiliations to be completed and approved by all authors]</w:t>
      </w:r>
    </w:p>
    <w:p>
      <w:pPr>
        <w:jc w:val="center"/>
      </w:pPr>
      <w:r>
        <w:t>[Institutional affiliations, departments, and locations to be confirmed by the authors]</w:t>
      </w:r>
    </w:p>
    <w:p>
      <w:pPr>
        <w:jc w:val="center"/>
      </w:pPr>
      <w:r>
        <w:t>Corresponding author: [name, institutional email address, postal address, and consent to be confirmed]</w:t>
      </w:r>
    </w:p>
    <w:p>
      <w:r>
        <w:t>Tables: 1    Figures: 1 (architecture figure to be added by the authors)</w:t>
      </w:r>
    </w:p>
    <w:p>
      <w:pPr>
        <w:pStyle w:val="Heading1"/>
      </w:pPr>
      <w:r>
        <w:t>Abstract</w:t>
      </w:r>
    </w:p>
    <w:p>
      <w:pPr>
        <w:pStyle w:val="Heading2"/>
      </w:pPr>
      <w:r>
        <w:t>Background</w:t>
      </w:r>
    </w:p>
    <w:p>
      <w:r>
        <w:t>Maternal electronic health records and fetal ultrasound data are collected in different workflows, while computational tools often address only one modality. This study describes the implementation and evidence currently available for MDT-GEN, a research prototype that brings together maternal data preprocessing, synthetic-data diagnostics, a gestational diabetes mellitus (GDM) classifier, a continuous-time maternal-state model, and a fetal ultrasound abdominal circumference (AC) workflow. The aim is to document the implementation and assess whether the saved project evidence supports performance claims.</w:t>
      </w:r>
    </w:p>
    <w:p>
      <w:pPr>
        <w:pStyle w:val="Heading2"/>
      </w:pPr>
      <w:r>
        <w:t>Methods</w:t>
      </w:r>
    </w:p>
    <w:p>
      <w:r>
        <w:t>We conducted a repository-based implementation and evidence audit. Maternal cohort summaries, saved training logs, synthetic-data diagnostics, fetal model artifacts, code, and evaluation files were reviewed. Equations and stated model behavior were reconciled against the implementation. The maternal source cohort comprises 23,490 anonymized records from pregnancies monitored at Imperial College Healthcare NHS Trust, London, between April 2016 and November 2019. The ultrasound branch uses ACOUSLIC-AI version 1.1. No new model training or held-out evaluation was performed for this manuscript.</w:t>
      </w:r>
    </w:p>
    <w:p>
      <w:pPr>
        <w:pStyle w:val="Heading2"/>
      </w:pPr>
      <w:r>
        <w:t>Results</w:t>
      </w:r>
    </w:p>
    <w:p>
      <w:r>
        <w:t>The repository describes 23,490 maternal records (1,854 GDM and 21,636 non-GDM) and a stratified 80:20 split. Its training log reports near-perfect GDM classification, but the configured predictors include fasting and 120-minute oral glucose tolerance test measurements that may encode the diagnostic outcome; the split, checkpoint provenance, and evaluation have not been independently audited. The synthetic-data report records 500 generated rows, a correlation-matrix mean absolute error of 0.0807 across seven selected numeric variables, and synthetic-only ROC-AUC of 0.532 with F1 of 0.0. These diagnostics do not establish privacy or clinical utility. An AC-specific Attention U-Net checkpoint and inference code are present, but no reproducible held-out evaluation supports the handoff’s Dice or AC-error claims. The continuous-time model is implemented, but no auditable trajectory-validation results were found.</w:t>
      </w:r>
    </w:p>
    <w:p>
      <w:pPr>
        <w:pStyle w:val="Heading2"/>
      </w:pPr>
      <w:r>
        <w:t>Conclusions</w:t>
      </w:r>
    </w:p>
    <w:p>
      <w:r>
        <w:t>MDT-GEN is an integrated research prototype rather than a clinically validated maternal–fetal digital twin. The project files support a description of software components and preliminary diagnostics, but not claims of early GDM prediction performance, validated AC accuracy, privacy protection, or clinical benefit. A leakage-resistant evaluation, reproducible AC validation, governance confirmation, and complete author declarations are required before submission.</w:t>
      </w:r>
    </w:p>
    <w:p>
      <w:r>
        <w:t>Keywords: gestational diabetes; electronic health records; synthetic data; neural ordinary differential equations; fetal ultrasound; abdominal circumference; clinical informatics</w:t>
      </w:r>
    </w:p>
    <w:p>
      <w:pPr>
        <w:pStyle w:val="Heading1"/>
      </w:pPr>
      <w:r>
        <w:t>Background</w:t>
      </w:r>
    </w:p>
    <w:p>
      <w:r>
        <w:t>Gestational diabetes mellitus is commonly identified through antenatal screening and diagnostic testing, and clinical records may contain measurements collected both before and during the diagnostic process. Prediction studies must therefore define the intended prediction time and ensure that predictors were available before the outcome was determined. A published retrospective cohort from Imperial College Healthcare NHS Trust reported 23,490 pregnancies and the same GDM dataset used in this project [1]. Reuse of an existing cohort requires a distinct research question and transparent reporting of the data’s original purpose and the present analysis.</w:t>
      </w:r>
    </w:p>
    <w:p>
      <w:r>
        <w:t>Fetal abdominal circumference is an important ultrasound biometric measurement. The ACOUSLIC-AI challenge provides blind-sweep ultrasound data and reference AC measurements; Zenodo version 1.1 corrected a factor-of-two error in the previous release [2,3]. A segmentation model’s apparent accuracy depends on the label definition, subject-level split, calibration, and comparison with reference measurements. A model checkpoint alone is not evidence of generalizable performance.</w:t>
      </w:r>
    </w:p>
    <w:p>
      <w:r>
        <w:t>MDT-GEN combines software components for maternal tabular modeling and fetal ultrasound analysis. In this manuscript, “integration” describes their co-location in a prototype application; the available files do not document patient-level linkage between the maternal and ultrasound cohorts. We therefore report an implementation and evidence audit, not prospective clinical validation or an evaluation of a fully linked patient-specific twin.</w:t>
      </w:r>
    </w:p>
    <w:p>
      <w:pPr>
        <w:pStyle w:val="Heading2"/>
      </w:pPr>
      <w:r>
        <w:t>Study objective</w:t>
      </w:r>
    </w:p>
    <w:p>
      <w:r>
        <w:t>The objective was to document the implemented components, reconcile the mathematical descriptions with the code, and summarize only results that are traceable to saved project artifacts. We also identify evidence gaps that prevent interpretation of the prototype as a validated prediction or measurement system.</w:t>
      </w:r>
    </w:p>
    <w:p>
      <w:pPr>
        <w:pStyle w:val="Heading1"/>
      </w:pPr>
      <w:r>
        <w:t>Methods</w:t>
      </w:r>
    </w:p>
    <w:p>
      <w:pPr>
        <w:pStyle w:val="Heading2"/>
      </w:pPr>
      <w:r>
        <w:t>Study design and materials</w:t>
      </w:r>
    </w:p>
    <w:p>
      <w:r>
        <w:t>This was a software implementation and repository evidence audit of the MDT-GEN project. We reviewed the project configuration, data-processing code, model implementations, saved reports, training logs, checkpoints, and the manuscript’s claimed equations and results. We did not retrain models, rerun clinical performance analyses, or assess the system with clinicians. Results below are limited to summaries and metrics already recorded in project files. OpenAI Codex assisted with manuscript editing and document formatting; the authors are responsible for verifying all scientific content, citations, analyses, and final wording.</w:t>
      </w:r>
    </w:p>
    <w:p>
      <w:pPr>
        <w:pStyle w:val="Heading2"/>
      </w:pPr>
      <w:r>
        <w:t>Maternal cohort and data processing</w:t>
      </w:r>
    </w:p>
    <w:p>
      <w:r>
        <w:t>The maternal data are described in the source publication as anonymized electronic health records for pregnancies registered at Imperial College Healthcare NHS Trust, London, from April 2016 to November 2019 [1]. The project exploratory report records 23,490 rows, 48 raw fields, 1,854 GDM-positive records (7.89%), and 21,636 GDM-negative records. The original source publication reports trust registration and anonymization; the governance determination applicable to this project’s secondary analysis must be confirmed by the investigators before submission.</w:t>
      </w:r>
    </w:p>
    <w:p>
      <w:r>
        <w:t>Project configuration defines 12 predictors: maternal age, gestational age at booking, booking body mass index, gravida, parity, previous caesarean count, Index of Multiple Deprivation rank, systolic and diastolic blood pressure, random glucose, fasting glucose, and 120-minute glucose. The latter measurements may be part of the clinical diagnostic process. Because their measurement times and relation to GDM labeling are not established in the project records, the classifier is not described as an early-pregnancy prediction model. The preprocessing log records 45 cleaned fields, 18,792 training records, and 4,698 test records after an 80:20 stratified split.</w:t>
      </w:r>
    </w:p>
    <w:p>
      <w:pPr>
        <w:pStyle w:val="Heading2"/>
      </w:pPr>
      <w:r>
        <w:t>Fetal ultrasound data</w:t>
      </w:r>
    </w:p>
    <w:p>
      <w:r>
        <w:t>The project identifies ACOUSLIC-AI version 1.1 as the fetal ultrasound data source [2]. The repository contains a separate binary Attention U-Net checkpoint at models/new_model/best_attunet.pth and inference code that resizes images to 320 × 416 pixels, scales intensities to [0,1], applies a sigmoid and threshold of 0.5, retains the largest connected component above a 2,000-pixel area threshold, and fits an ellipse to derive a circumference. In this inference module the nominal pixel spacing is supplied as 0.28 mm/pixel by default; it is not dynamically read from each image header. The reported AC therefore depends on correct dataset calibration and use of the correct source image scale.</w:t>
      </w:r>
    </w:p>
    <w:p>
      <w:r>
        <w:t>A separate project Attention U-Net segments internal structures (artery, vein, liver, and stomach). Its saved training history contains one epoch, with validation Dice 0.000248. This model is not the AC-specific checkpoint and its internal-organ masks are not treated as abdominal-contour labels.</w:t>
      </w:r>
    </w:p>
    <w:p>
      <w:pPr>
        <w:pStyle w:val="Heading2"/>
      </w:pPr>
      <w:r>
        <w:t>Software components</w:t>
      </w:r>
    </w:p>
    <w:p>
      <w:r>
        <w:t>The maternal branch includes a CTGAN wrapper, a random forest/XGBoost/CatBoost stacking classifier with logistic-regression meta-learner, and a hypergraph-conditioned Neural ODE. The application is a Streamlit prototype with database and recommendation components. The saved training log shows that some CTGAN and Neural ODE checkpoints were loaded from a previous local path outside the current checkout. We therefore distinguish code availability from reproducibility of a complete training run.</w:t>
      </w:r>
    </w:p>
    <w:p>
      <w:pPr>
        <w:pStyle w:val="Heading2"/>
      </w:pPr>
      <w:r>
        <w:t>Equations and implementation details</w:t>
      </w:r>
    </w:p>
    <w:p>
      <w:pPr>
        <w:pStyle w:val="Heading3"/>
      </w:pPr>
      <w:r>
        <w:t>Synthetic-data diagnostics</w:t>
      </w:r>
    </w:p>
    <w:p>
      <w:r>
        <w:t>For each selected numeric feature, the project evaluation computes a one-dimensional Wasserstein distance between empirical real and synthetic distributions. No single pooled “mean feature Wasserstein distance” is reported in the saved output. Correlation preservation is computed on seven selected numeric fields, not all 45 cleaned fields. Let Rᵣ and Rₛ be the real and synthetic correlation matrices and K = 7:</w:t>
      </w:r>
    </w:p>
    <w:p>
      <w:pPr>
        <w:keepLines/>
        <w:jc w:val="center"/>
      </w:pPr>
      <w:r>
        <w:rPr>
          <w:rFonts w:ascii="Cambria Math" w:hAnsi="Cambria Math"/>
          <w:sz w:val="22"/>
        </w:rPr>
        <w:t>MAE_corr = (1 / K²) Σⱼ₌₁ᴷ Σₖ₌₁ᴷ |Rᵣⱼₖ − Rₛⱼₖ|,   K = 7.</w:t>
      </w:r>
    </w:p>
    <w:p>
      <w:r>
        <w:t>The privacy diagnostic standardizes selected numeric predictors using the real training cohort, imputes missing values with real-training medians, and measures nearest-neighbor Euclidean distance. The saved implementation flags distances below 0.001 as near-duplicates. This is a narrow empirical check; it is not a formal privacy guarantee and does not support a claim that the synthetic data are privacy-preserving.</w:t>
      </w:r>
    </w:p>
    <w:p>
      <w:pPr>
        <w:keepLines/>
        <w:jc w:val="center"/>
      </w:pPr>
      <w:r>
        <w:rPr>
          <w:rFonts w:ascii="Cambria Math" w:hAnsi="Cambria Math"/>
          <w:sz w:val="22"/>
        </w:rPr>
        <w:t>DCR(xₛ) = minₓ∈D_train || z(xₛ) − z(x) ||₂.</w:t>
      </w:r>
    </w:p>
    <w:p>
      <w:pPr>
        <w:pStyle w:val="Heading3"/>
      </w:pPr>
      <w:r>
        <w:t>Stacked classifier</w:t>
      </w:r>
    </w:p>
    <w:p>
      <w:r>
        <w:t>For each training record i, out-of-fold (OOF) probabilities from the three base estimators form the meta-feature vector zᵢ. A logistic regression meta-learner estimates the probability of the binary GDM label yᵢ:</w:t>
      </w:r>
    </w:p>
    <w:p>
      <w:pPr>
        <w:keepLines/>
        <w:jc w:val="center"/>
      </w:pPr>
      <w:r>
        <w:rPr>
          <w:rFonts w:ascii="Cambria Math" w:hAnsi="Cambria Math"/>
          <w:sz w:val="22"/>
        </w:rPr>
        <w:t>zᵢ = [p_RF,i, p_XGB,i, p_CatBoost,i]ᵀ;     P(yᵢ = 1 | zᵢ) = σ(wᵀzᵢ + b),     σ(a) = 1 / (1 + e⁻ᵃ).</w:t>
      </w:r>
    </w:p>
    <w:p>
      <w:r>
        <w:t>The configured decision threshold is 0.5. This threshold is a software default, not a clinically selected operating point. Use of OOF probabilities does not by itself protect against outcome leakage in input variables or preprocessing performed outside the folds.</w:t>
      </w:r>
    </w:p>
    <w:p>
      <w:pPr>
        <w:pStyle w:val="Heading3"/>
      </w:pPr>
      <w:r>
        <w:t>Continuous-time maternal model</w:t>
      </w:r>
    </w:p>
    <w:p>
      <w:r>
        <w:t>The Neural ODE implementation encodes the 12 configured predictors X in a hypergraph encoder h = Hφ(X). Its dynamic state contains glucose, body mass index, and systolic blood pressure, rather than only glucose and BMI: z(t) = [G(t), BMI(t), SBP(t)]ᵀ. The learned vector field receives state, normalized time, and the hypergraph embedding:</w:t>
      </w:r>
    </w:p>
    <w:p>
      <w:pPr>
        <w:keepLines/>
        <w:jc w:val="center"/>
      </w:pPr>
      <w:r>
        <w:rPr>
          <w:rFonts w:ascii="Cambria Math" w:hAnsi="Cambria Math"/>
          <w:sz w:val="22"/>
        </w:rPr>
        <w:t>dz(t)/dt = fθ(z(t), t / 40, h),      h = Hφ(X).</w:t>
      </w:r>
    </w:p>
    <w:p>
      <w:r>
        <w:t>An initial-state projection maps the patient predictors and embedding into the three-dimensional state. The implementation adds baseline offsets and clips the components to specified ranges; these bounds are implementation safeguards, not clinically validated constraints. For a step Δt, the fourth-order Runge–Kutta update is:</w:t>
      </w:r>
    </w:p>
    <w:p>
      <w:pPr>
        <w:keepLines/>
        <w:jc w:val="center"/>
      </w:pPr>
      <w:r>
        <w:rPr>
          <w:rFonts w:ascii="Cambria Math" w:hAnsi="Cambria Math"/>
          <w:sz w:val="22"/>
        </w:rPr>
        <w:t>k₁ = fθ(zₜ, tₜ, h);   k₂ = fθ(zₜ + Δt k₁/2, tₜ + Δt/2, h);</w:t>
      </w:r>
    </w:p>
    <w:p>
      <w:pPr>
        <w:keepLines/>
        <w:jc w:val="center"/>
      </w:pPr>
      <w:r>
        <w:rPr>
          <w:rFonts w:ascii="Cambria Math" w:hAnsi="Cambria Math"/>
          <w:sz w:val="22"/>
        </w:rPr>
        <w:t>k₃ = fθ(zₜ + Δt k₂/2, tₜ + Δt/2, h);   k₄ = fθ(zₜ + Δt k₃, tₜ + Δt, h);</w:t>
      </w:r>
    </w:p>
    <w:p>
      <w:pPr>
        <w:keepLines/>
        <w:jc w:val="center"/>
      </w:pPr>
      <w:r>
        <w:rPr>
          <w:rFonts w:ascii="Cambria Math" w:hAnsi="Cambria Math"/>
          <w:sz w:val="22"/>
        </w:rPr>
        <w:t>zₜ₊Δt = zₜ + (Δt / 6)(k₁ + 2k₂ + 2k₃ + k₄).</w:t>
      </w:r>
    </w:p>
    <w:p>
      <w:r>
        <w:t>After each integration step, the implementation clips glucose, BMI, and systolic blood pressure to configured ranges. A linear risk head acts on the concatenation of the final state and hypergraph embedding:</w:t>
      </w:r>
    </w:p>
    <w:p>
      <w:pPr>
        <w:keepLines/>
        <w:jc w:val="center"/>
      </w:pPr>
      <w:r>
        <w:rPr>
          <w:rFonts w:ascii="Cambria Math" w:hAnsi="Cambria Math"/>
          <w:sz w:val="22"/>
        </w:rPr>
        <w:t>P_GDM(t) = σ(wᵣᵀ[z(t), h] + bᵣ).</w:t>
      </w:r>
    </w:p>
    <w:p>
      <w:r>
        <w:t>The training objective in the code is a weighted sum of GDM binary cross-entropy, initial-state mean squared errors for glucose, BMI and systolic blood pressure, and a BMI derivative penalty evaluated at booking. The code does not implement a monotonic-risk penalty. With the implemented weights, the loss is:</w:t>
      </w:r>
    </w:p>
    <w:p>
      <w:pPr>
        <w:keepLines/>
        <w:jc w:val="center"/>
      </w:pPr>
      <w:r>
        <w:rPr>
          <w:rFonts w:ascii="Cambria Math" w:hAnsi="Cambria Math"/>
          <w:sz w:val="22"/>
        </w:rPr>
        <w:t>L = 2.0 L_BCE + 0.10 MSE_G + 0.05 MSE_BMI + 0.01 MSE_SBP + 0.5 meanᵢ{ReLU(−dBMIᵢ/dt at booking)²}.</w:t>
      </w:r>
    </w:p>
    <w:p>
      <w:r>
        <w:t>This penalty encourages a non-negative BMI derivative at the evaluated booking state; it does not establish that BMI must increase monotonically for every pregnancy. The saved project files do not provide an auditable test-set trajectory evaluation for this model.</w:t>
      </w:r>
    </w:p>
    <w:p>
      <w:pPr>
        <w:pStyle w:val="Heading3"/>
      </w:pPr>
      <w:r>
        <w:t>Fetal AC geometry and derived quantities</w:t>
      </w:r>
    </w:p>
    <w:p>
      <w:r>
        <w:t>For the AC-specific inference path, an ellipse is fitted to the largest predicted contour. With semi-axes a and b in pixels, Ramanujan’s second approximation gives the perimeter in pixels. The code multiplies this perimeter by a supplied scalar pixel spacing s to obtain millimetres:</w:t>
      </w:r>
    </w:p>
    <w:p>
      <w:pPr>
        <w:keepLines/>
        <w:jc w:val="center"/>
      </w:pPr>
      <w:r>
        <w:rPr>
          <w:rFonts w:ascii="Cambria Math" w:hAnsi="Cambria Math"/>
          <w:sz w:val="22"/>
        </w:rPr>
        <w:t>C_px ≈ π[3(a + b) − √((3a + b)(a + 3b))];      AC_mm = C_px × s;      AC_cm = AC_mm / 10.</w:t>
      </w:r>
    </w:p>
    <w:p>
      <w:r>
        <w:t>This scalar conversion assumes isotropic pixel spacing. The AC-specific inference module defaults to s = 0.28 mm/pixel; it does not extract spacing dynamically from the image header. The AC-only Hadlock estimate implemented elsewhere in the application uses AC in centimetres and natural logarithm:</w:t>
      </w:r>
    </w:p>
    <w:p>
      <w:pPr>
        <w:keepLines/>
        <w:jc w:val="center"/>
      </w:pPr>
      <w:r>
        <w:rPr>
          <w:rFonts w:ascii="Cambria Math" w:hAnsi="Cambria Math"/>
          <w:sz w:val="22"/>
        </w:rPr>
        <w:t>ln(EFW_g) = 2.695 + 0.253 AC_cm − 0.00275 AC_cm²;      EFW_g = exp(ln(EFW_g)).</w:t>
      </w:r>
    </w:p>
    <w:p>
      <w:r>
        <w:t>The project also computes a linear expected AC reference attributed to Choi et al. [8]:</w:t>
      </w:r>
    </w:p>
    <w:p>
      <w:pPr>
        <w:keepLines/>
        <w:jc w:val="center"/>
      </w:pPr>
      <w:r>
        <w:rPr>
          <w:rFonts w:ascii="Cambria Math" w:hAnsi="Cambria Math"/>
          <w:sz w:val="22"/>
        </w:rPr>
        <w:t>AC_ref,median (cm) = 1.013 × GA_weeks − 4.634;      ΔAC_cm = AC_measured,cm − AC_ref,median,cm.</w:t>
      </w:r>
    </w:p>
    <w:p>
      <w:r>
        <w:t>This equation provides a population median estimate, not a percentile distribution. The manuscript therefore does not call ±10% deviations “10th–90th percentile,” and does not present the project’s screening tiers as clinically validated. A percentile or z-score requires an appropriate gestational-age-specific reference distribution.</w:t>
      </w:r>
    </w:p>
    <w:p>
      <w:pPr>
        <w:pStyle w:val="Heading2"/>
      </w:pPr>
      <w:r>
        <w:t>Evidence review and analysis</w:t>
      </w:r>
    </w:p>
    <w:p>
      <w:r>
        <w:t>We transcribed counts and metrics from the project’s saved exploratory report, synthetic utility JSON, fetal training history, and September 2026 pipeline log. We did not derive new confidence intervals or significance tests. Reported model metrics are labeled as logged outputs and are not interpreted as valid generalization estimates without reproduction, target-timing review, and leakage-resistant analysis.</w:t>
      </w:r>
    </w:p>
    <w:p>
      <w:pPr>
        <w:pStyle w:val="Heading1"/>
      </w:pPr>
      <w:r>
        <w:t>Results</w:t>
      </w:r>
    </w:p>
    <w:p>
      <w:pPr>
        <w:pStyle w:val="Heading2"/>
      </w:pPr>
      <w:r>
        <w:t>Cohort and available evaluation evidence</w:t>
      </w:r>
    </w:p>
    <w:p>
      <w:r>
        <w:t>The maternal exploratory report contains 23,490 records, of which 1,854 (7.89%) are labeled GDM and 21,636 (92.11%) are labeled non-GDM. Missingness is substantial for several fields, including random blood glucose (88.7%), systolic blood pressure (58.9%), diastolic blood pressure (65.3%), fasting glucose (27.9%), and 120-minute glucose (28.0%). These percentages describe the reported raw table and are not a complete-case analysis.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cantSplit/>
        </w:trPr>
        <w:tc>
          <w:tcPr>
            <w:tcW w:type="dxa" w:w="3120"/>
            <w:vAlign w:val="center"/>
          </w:tcPr>
          <w:p>
            <w:r>
              <w:rPr>
                <w:rFonts w:ascii="Arial" w:hAnsi="Arial"/>
                <w:b/>
                <w:sz w:val="18"/>
              </w:rPr>
              <w:t>Project evidence</w:t>
            </w:r>
          </w:p>
        </w:tc>
        <w:tc>
          <w:tcPr>
            <w:tcW w:type="dxa" w:w="3120"/>
            <w:vAlign w:val="center"/>
          </w:tcPr>
          <w:p>
            <w:r>
              <w:rPr>
                <w:rFonts w:ascii="Arial" w:hAnsi="Arial"/>
                <w:b/>
                <w:sz w:val="18"/>
              </w:rPr>
              <w:t>Recorded value</w:t>
            </w:r>
          </w:p>
        </w:tc>
        <w:tc>
          <w:tcPr>
            <w:tcW w:type="dxa" w:w="3120"/>
            <w:vAlign w:val="center"/>
          </w:tcPr>
          <w:p>
            <w:r>
              <w:rPr>
                <w:rFonts w:ascii="Arial" w:hAnsi="Arial"/>
                <w:b/>
                <w:sz w:val="18"/>
              </w:rPr>
              <w:t>Interpretation</w:t>
            </w:r>
          </w:p>
        </w:tc>
      </w:tr>
      <w:tr>
        <w:trPr>
          <w:cantSplit/>
        </w:trPr>
        <w:tc>
          <w:tcPr>
            <w:tcW w:type="dxa" w:w="3120"/>
            <w:vAlign w:val="center"/>
          </w:tcPr>
          <w:p>
            <w:pPr>
              <w:spacing w:line="264" w:lineRule="auto" w:after="0"/>
            </w:pPr>
            <w:r>
              <w:rPr>
                <w:rFonts w:ascii="Arial" w:hAnsi="Arial"/>
                <w:sz w:val="18"/>
              </w:rPr>
              <w:t>Maternal records / fields</w:t>
            </w:r>
          </w:p>
        </w:tc>
        <w:tc>
          <w:tcPr>
            <w:tcW w:type="dxa" w:w="3120"/>
            <w:vAlign w:val="center"/>
          </w:tcPr>
          <w:p>
            <w:pPr>
              <w:spacing w:line="264" w:lineRule="auto" w:after="0"/>
            </w:pPr>
            <w:r>
              <w:rPr>
                <w:rFonts w:ascii="Arial" w:hAnsi="Arial"/>
                <w:sz w:val="18"/>
              </w:rPr>
              <w:t>23,490 / 48 raw fields</w:t>
            </w:r>
          </w:p>
        </w:tc>
        <w:tc>
          <w:tcPr>
            <w:tcW w:type="dxa" w:w="3120"/>
            <w:vAlign w:val="center"/>
          </w:tcPr>
          <w:p>
            <w:pPr>
              <w:spacing w:line="264" w:lineRule="auto" w:after="0"/>
            </w:pPr>
            <w:r>
              <w:rPr>
                <w:rFonts w:ascii="Arial" w:hAnsi="Arial"/>
                <w:sz w:val="18"/>
              </w:rPr>
              <w:t>Exploratory report; 45 fields after logged preprocessing</w:t>
            </w:r>
          </w:p>
        </w:tc>
      </w:tr>
      <w:tr>
        <w:trPr>
          <w:cantSplit/>
        </w:trPr>
        <w:tc>
          <w:tcPr>
            <w:tcW w:type="dxa" w:w="3120"/>
            <w:vAlign w:val="center"/>
          </w:tcPr>
          <w:p>
            <w:pPr>
              <w:spacing w:line="264" w:lineRule="auto" w:after="0"/>
            </w:pPr>
            <w:r>
              <w:rPr>
                <w:rFonts w:ascii="Arial" w:hAnsi="Arial"/>
                <w:sz w:val="18"/>
              </w:rPr>
              <w:t>GDM label counts</w:t>
            </w:r>
          </w:p>
        </w:tc>
        <w:tc>
          <w:tcPr>
            <w:tcW w:type="dxa" w:w="3120"/>
            <w:vAlign w:val="center"/>
          </w:tcPr>
          <w:p>
            <w:pPr>
              <w:spacing w:line="264" w:lineRule="auto" w:after="0"/>
            </w:pPr>
            <w:r>
              <w:rPr>
                <w:rFonts w:ascii="Arial" w:hAnsi="Arial"/>
                <w:sz w:val="18"/>
              </w:rPr>
              <w:t>1,854 positive; 21,636 negative</w:t>
            </w:r>
          </w:p>
        </w:tc>
        <w:tc>
          <w:tcPr>
            <w:tcW w:type="dxa" w:w="3120"/>
            <w:vAlign w:val="center"/>
          </w:tcPr>
          <w:p>
            <w:pPr>
              <w:spacing w:line="264" w:lineRule="auto" w:after="0"/>
            </w:pPr>
            <w:r>
              <w:rPr>
                <w:rFonts w:ascii="Arial" w:hAnsi="Arial"/>
                <w:sz w:val="18"/>
              </w:rPr>
              <w:t>7.89% positive prevalence</w:t>
            </w:r>
          </w:p>
        </w:tc>
      </w:tr>
      <w:tr>
        <w:trPr>
          <w:cantSplit/>
        </w:trPr>
        <w:tc>
          <w:tcPr>
            <w:tcW w:type="dxa" w:w="3120"/>
            <w:vAlign w:val="center"/>
          </w:tcPr>
          <w:p>
            <w:pPr>
              <w:spacing w:line="264" w:lineRule="auto" w:after="0"/>
            </w:pPr>
            <w:r>
              <w:rPr>
                <w:rFonts w:ascii="Arial" w:hAnsi="Arial"/>
                <w:sz w:val="18"/>
              </w:rPr>
              <w:t>Logged partition</w:t>
            </w:r>
          </w:p>
        </w:tc>
        <w:tc>
          <w:tcPr>
            <w:tcW w:type="dxa" w:w="3120"/>
            <w:vAlign w:val="center"/>
          </w:tcPr>
          <w:p>
            <w:pPr>
              <w:spacing w:line="264" w:lineRule="auto" w:after="0"/>
            </w:pPr>
            <w:r>
              <w:rPr>
                <w:rFonts w:ascii="Arial" w:hAnsi="Arial"/>
                <w:sz w:val="18"/>
              </w:rPr>
              <w:t>18,792 train; 4,698 test</w:t>
            </w:r>
          </w:p>
        </w:tc>
        <w:tc>
          <w:tcPr>
            <w:tcW w:type="dxa" w:w="3120"/>
            <w:vAlign w:val="center"/>
          </w:tcPr>
          <w:p>
            <w:pPr>
              <w:spacing w:line="264" w:lineRule="auto" w:after="0"/>
            </w:pPr>
            <w:r>
              <w:rPr>
                <w:rFonts w:ascii="Arial" w:hAnsi="Arial"/>
                <w:sz w:val="18"/>
              </w:rPr>
              <w:t>Stratified 80:20 split recorded in pipeline log</w:t>
            </w:r>
          </w:p>
        </w:tc>
      </w:tr>
      <w:tr>
        <w:trPr>
          <w:cantSplit/>
        </w:trPr>
        <w:tc>
          <w:tcPr>
            <w:tcW w:type="dxa" w:w="3120"/>
            <w:vAlign w:val="center"/>
          </w:tcPr>
          <w:p>
            <w:pPr>
              <w:spacing w:line="264" w:lineRule="auto" w:after="0"/>
            </w:pPr>
            <w:r>
              <w:rPr>
                <w:rFonts w:ascii="Arial" w:hAnsi="Arial"/>
                <w:sz w:val="18"/>
              </w:rPr>
              <w:t>ACOUSLIC-AI model artifact</w:t>
            </w:r>
          </w:p>
        </w:tc>
        <w:tc>
          <w:tcPr>
            <w:tcW w:type="dxa" w:w="3120"/>
            <w:vAlign w:val="center"/>
          </w:tcPr>
          <w:p>
            <w:pPr>
              <w:spacing w:line="264" w:lineRule="auto" w:after="0"/>
            </w:pPr>
            <w:r>
              <w:rPr>
                <w:rFonts w:ascii="Arial" w:hAnsi="Arial"/>
                <w:sz w:val="18"/>
              </w:rPr>
              <w:t>best_attunet.pth present</w:t>
            </w:r>
          </w:p>
        </w:tc>
        <w:tc>
          <w:tcPr>
            <w:tcW w:type="dxa" w:w="3120"/>
            <w:vAlign w:val="center"/>
          </w:tcPr>
          <w:p>
            <w:pPr>
              <w:spacing w:line="264" w:lineRule="auto" w:after="0"/>
            </w:pPr>
            <w:r>
              <w:rPr>
                <w:rFonts w:ascii="Arial" w:hAnsi="Arial"/>
                <w:sz w:val="18"/>
              </w:rPr>
              <w:t>AC-specific inference code present; held-out metrics not auditable here</w:t>
            </w:r>
          </w:p>
        </w:tc>
      </w:tr>
      <w:tr>
        <w:trPr>
          <w:cantSplit/>
        </w:trPr>
        <w:tc>
          <w:tcPr>
            <w:tcW w:type="dxa" w:w="3120"/>
            <w:vAlign w:val="center"/>
          </w:tcPr>
          <w:p>
            <w:pPr>
              <w:spacing w:line="264" w:lineRule="auto" w:after="0"/>
            </w:pPr>
            <w:r>
              <w:rPr>
                <w:rFonts w:ascii="Arial" w:hAnsi="Arial"/>
                <w:sz w:val="18"/>
              </w:rPr>
              <w:t>Internal-organ U-Net history</w:t>
            </w:r>
          </w:p>
        </w:tc>
        <w:tc>
          <w:tcPr>
            <w:tcW w:type="dxa" w:w="3120"/>
            <w:vAlign w:val="center"/>
          </w:tcPr>
          <w:p>
            <w:pPr>
              <w:spacing w:line="264" w:lineRule="auto" w:after="0"/>
            </w:pPr>
            <w:r>
              <w:rPr>
                <w:rFonts w:ascii="Arial" w:hAnsi="Arial"/>
                <w:sz w:val="18"/>
              </w:rPr>
              <w:t>1 epoch; validation Dice 0.000248</w:t>
            </w:r>
          </w:p>
        </w:tc>
        <w:tc>
          <w:tcPr>
            <w:tcW w:type="dxa" w:w="3120"/>
            <w:vAlign w:val="center"/>
          </w:tcPr>
          <w:p>
            <w:pPr>
              <w:spacing w:line="264" w:lineRule="auto" w:after="0"/>
            </w:pPr>
            <w:r>
              <w:rPr>
                <w:rFonts w:ascii="Arial" w:hAnsi="Arial"/>
                <w:sz w:val="18"/>
              </w:rPr>
              <w:t>Separate model and target from the AC checkpoint</w:t>
            </w:r>
          </w:p>
        </w:tc>
      </w:tr>
    </w:tbl>
    <w:p>
      <w:pPr>
        <w:pStyle w:val="Heading2"/>
      </w:pPr>
      <w:r>
        <w:t>Maternal model outputs</w:t>
      </w:r>
    </w:p>
    <w:p>
      <w:r>
        <w:t>The September 2026 pipeline log records stacking-ensemble OOF GDM ROC-AUC of approximately 1.000 and F1 of 0.9993, and final-test metrics of 1.000 for accuracy, precision, recall, F1, and ROC-AUC. The same configuration includes fasting and 120-minute OGTT measurements among its predictors. Because these values can encode the diagnostic process and the feature timestamps and cohort split have not been audited, they are reported only as software-log outputs, not as an estimate of clinical predictive performance. For macrosomia, the same log records OOF ROC-AUC 0.6961 and F1 0.2240; this also lacks independent reproduction.</w:t>
      </w:r>
    </w:p>
    <w:p>
      <w:pPr>
        <w:pStyle w:val="Heading2"/>
      </w:pPr>
      <w:r>
        <w:t>Synthetic-data diagnostics</w:t>
      </w:r>
    </w:p>
    <w:p>
      <w:r>
        <w:t>The saved report describes 500 synthetic records across 45 fields. It reports correlation-matrix MAE 0.0807; the evaluation code computes this on seven selected numeric fields. The nearest-neighbor report gives minimum and mean distances of 0.869 and 2.730 in its standardized numeric feature space, with zero records below its implemented 0.001 near-duplicate threshold. These values are specific to that heuristic and do not demonstrate privacy protection. The same saved report gives a synthetic-only train-on-synthetic/test-on-real ROC-AUC of 0.532 and F1 of 0.0. The comparator real-only scores are perfect in the report, adding concern about label leakage or evaluation design.</w:t>
      </w:r>
    </w:p>
    <w:p>
      <w:pPr>
        <w:pStyle w:val="Heading2"/>
      </w:pPr>
      <w:r>
        <w:t>Continuous-time model and ultrasound outputs</w:t>
      </w:r>
    </w:p>
    <w:p>
      <w:r>
        <w:t>A hypergraph-conditioned three-state Neural ODE and RK4 integration are implemented. The training function includes GDM binary cross-entropy, three initial-state reconstruction losses, and a booking-time BMI derivative penalty. The available pipeline log loads a checkpoint from an earlier local path; no reproducible held-out trajectory metrics are included. The table of week-by-week projections in the source manuscript could not be traced to a saved report and is omitted.</w:t>
      </w:r>
    </w:p>
    <w:p>
      <w:r>
        <w:t>The AC-specific Attention U-Net checkpoint is present and the inference code describes a per-frame ellipse-based AC calculation. The project handoff claims validation Dice above 0.94 and mean absolute AC error around 5.3 mm, but the included notebook has no saved execution outputs and no paired held-out predictions, subject-level split report, or reproducible evaluation summary was found. Those values are therefore not treated as results. The separate internal-organ model has only one saved training epoch and very low validation Dice; it is not a substitute for AC validation.</w:t>
      </w:r>
    </w:p>
    <w:p>
      <w:pPr>
        <w:pStyle w:val="Heading2"/>
      </w:pPr>
      <w:r>
        <w:t>Application status</w:t>
      </w:r>
    </w:p>
    <w:p>
      <w:r>
        <w:t>The repository contains a Streamlit interface and supporting application components. No clinician usability study, prospective workflow assessment, or clinical deployment evaluation was found. The project records do not show patient-level linkage between the maternal EHR cohort and ACOUSLIC-AI ultrasound participants.</w:t>
      </w:r>
    </w:p>
    <w:p>
      <w:pPr>
        <w:pStyle w:val="Heading1"/>
      </w:pPr>
      <w:r>
        <w:t>Discussion</w:t>
      </w:r>
    </w:p>
    <w:p>
      <w:r>
        <w:t>This audit shows that MDT-GEN is a broad prototype spanning maternal tabular data, synthetic-data generation, risk classification, continuous-time modeling, ultrasound segmentation, and an interactive interface. Its most defensible contribution is the documented integration of these software components and the identification of validation risks. The current evidence does not support the stronger claims in the supplied manuscript regarding “early” prediction, privacy preservation, fetal measurement accuracy, or decision-support benefit.</w:t>
      </w:r>
    </w:p>
    <w:p>
      <w:r>
        <w:t>The central problem for the GDM classifier is prediction-time definition. The configured input contains fasting and 120-minute OGTT measurements, which may be part of the diagnostic rule used to assign the outcome. High scores under these conditions may reflect diagnosis reconstruction rather than early risk prediction. A valid early-prediction analysis must define a time origin, remove any post-origin or outcome-defining variables, split at the patient/pregnancy level, fit all preprocessing within each training fold, and report calibration and uncertainty on an untouched evaluation cohort. Until that work is completed, the logged perfect metrics should not be presented as evidence of clinical performance.</w:t>
      </w:r>
    </w:p>
    <w:p>
      <w:r>
        <w:t>The synthetic-data report is also limited. The correlation summary applies to seven selected numeric variables, not all 45 fields. Nearest-neighbor distances depend on a particular representation, missing-data rule, scaling procedure, and threshold. The zero-near-duplicate result is not differential privacy and cannot rule out membership inference or attribute disclosure. The low TSTR AUC and F1 indicate that downstream utility has not been demonstrated by the saved evaluation.</w:t>
      </w:r>
    </w:p>
    <w:p>
      <w:r>
        <w:t>For the ultrasound component, the AC-specific checkpoint and internal-organ model must remain distinct. The current code supports a description of an AC segmentation pipeline, but the claimed Dice and millimetre error require a reproducible subject-level held-out evaluation against version 1.1 reference labels. The pixel-spacing default must be verified for each input; converting pixels to millimetres with an incorrect scale changes every reported circumference. A median AC equation cannot generate percentile categories, and an AC-only fetal-weight equation should not be presented as a complete multi-biometry Hadlock model.</w:t>
      </w:r>
    </w:p>
    <w:p>
      <w:r>
        <w:t>The Neural ODE equations in this revision reflect the implementation: the state contains glucose, BMI, and systolic blood pressure; time is normalized in the vector field; the risk head uses both the final state and the hypergraph embedding; and the loss contains initial-state MSEs plus GDM BCE and a BMI derivative term evaluated at booking. The earlier manuscript’s two-state formulation, four-component loss weights, risk monotonicity penalty, and trajectory accuracy table did not match the code or available training evidence.</w:t>
      </w:r>
    </w:p>
    <w:p>
      <w:pPr>
        <w:pStyle w:val="Heading2"/>
      </w:pPr>
      <w:r>
        <w:t>Limitations</w:t>
      </w:r>
    </w:p>
    <w:p>
      <w:r>
        <w:t>This work is a repository-based audit rather than a prospectively designed validation study. The maternal data source has been previously described, and the distinct contribution and authorization for this secondary analysis require confirmation. The pipeline log loads some model checkpoints from a previous path and does not provide a complete reproducibility record. Predictors include potentially diagnostic glucose measurements. Synthetic privacy checks are heuristic. The AC checkpoint lacks auditable held-out metrics, and the internal-organ model’s recorded validation performance is poor. The architecture figure, code release/version, complete author declarations, and governance details remain to be supplied or confirmed.</w:t>
      </w:r>
    </w:p>
    <w:p>
      <w:pPr>
        <w:pStyle w:val="Heading1"/>
      </w:pPr>
      <w:r>
        <w:t>Conclusions</w:t>
      </w:r>
    </w:p>
    <w:p>
      <w:r>
        <w:t>MDT-GEN is a research prototype that brings several maternal and fetal informatics components into one software project. Its current project files support reporting dataset summaries, implementation details, and preliminary diagnostics, but not validated early GDM prediction, formal synthetic-data privacy, accurate fetal AC measurement, or clinical decision support. A focused, reproducible evaluation with predictor-time auditing, held-out AC validation, and complete governance and authorship documentation is needed before this work is suitable for submission as a research article.</w:t>
      </w:r>
    </w:p>
    <w:p>
      <w:pPr>
        <w:pStyle w:val="Heading1"/>
      </w:pPr>
      <w:r>
        <w:t>Figure placeholder</w:t>
      </w:r>
    </w:p>
    <w:p>
      <w:r>
        <w:t>Figure 1. Architecture of the MDT-GEN prototype. [Architecture diagram to be inserted by the authors. The final figure must distinguish the maternal EHR cohort from the ACOUSLIC-AI ultrasound dataset and must not imply patient-level linkage unless such linkage is documented.]</w:t>
      </w:r>
    </w:p>
    <w:p>
      <w:pPr>
        <w:pStyle w:val="Heading1"/>
      </w:pPr>
      <w:r>
        <w:t>List of abbreviations</w:t>
      </w:r>
    </w:p>
    <w:p>
      <w:r>
        <w:t>AC, abdominal circumference; AUC, area under the receiver operating characteristic curve; BMI, body mass index; CTGAN, conditional tabular generative adversarial network; DCR, distance to closest record; EHR, electronic health record; EFW, estimated fetal weight; GDM, gestational diabetes mellitus; ODE, ordinary differential equation; OOF, out-of-fold; OGTT, oral glucose tolerance test; RK4, fourth-order Runge–Kutta.</w:t>
      </w:r>
    </w:p>
    <w:p>
      <w:pPr>
        <w:pStyle w:val="Heading1"/>
      </w:pPr>
      <w:r>
        <w:t>Declarations</w:t>
      </w:r>
    </w:p>
    <w:p>
      <w:pPr>
        <w:pStyle w:val="Heading2"/>
      </w:pPr>
      <w:r>
        <w:t>Ethics approval and consent to participate</w:t>
      </w:r>
    </w:p>
    <w:p>
      <w:r>
        <w:t>The source cohort publication reports that the dataset was anonymized and the original project was registered with the Imperial College Healthcare NHS Trust Audit and Governance Department [1]. The authors must confirm the ethics/governance determination and authorization applicable to the present secondary analysis before submission; no approval or waiver is inferred here.</w:t>
      </w:r>
    </w:p>
    <w:p>
      <w:pPr>
        <w:pStyle w:val="Heading2"/>
      </w:pPr>
      <w:r>
        <w:t>Consent for publication</w:t>
      </w:r>
    </w:p>
    <w:p>
      <w:r>
        <w:t>[Confirm before submission. If no identifiable individual-level data or images are included in the manuscript, state “Not applicable.”]</w:t>
      </w:r>
    </w:p>
    <w:p>
      <w:pPr>
        <w:pStyle w:val="Heading2"/>
      </w:pPr>
      <w:r>
        <w:t>Availability of data and materials</w:t>
      </w:r>
    </w:p>
    <w:p>
      <w:r>
        <w:t>The maternal cohort is available via Figshare (https://doi.org/10.6084/m9.figshare.21806472), subject to the repository terms. The ACOUSLIC-AI training dataset version 1.1 is available via Zenodo (https://doi.org/10.5281/zenodo.12697994) under its stated license. Add the public code repository URL, release/commit, and any restrictions on the specific data and model checkpoint used in this analysis.</w:t>
      </w:r>
    </w:p>
    <w:p>
      <w:pPr>
        <w:pStyle w:val="Heading2"/>
      </w:pPr>
      <w:r>
        <w:t>Competing interests</w:t>
      </w:r>
    </w:p>
    <w:p>
      <w:r>
        <w:t>[Complete after all authors have disclosed financial and non-financial competing interests.]</w:t>
      </w:r>
    </w:p>
    <w:p>
      <w:pPr>
        <w:pStyle w:val="Heading2"/>
      </w:pPr>
      <w:r>
        <w:t>Funding</w:t>
      </w:r>
    </w:p>
    <w:p>
      <w:r>
        <w:t>[State all sources of funding, or “No funding” only after author confirmation.]</w:t>
      </w:r>
    </w:p>
    <w:p>
      <w:pPr>
        <w:pStyle w:val="Heading2"/>
      </w:pPr>
      <w:r>
        <w:t>Authors’ contributions</w:t>
      </w:r>
    </w:p>
    <w:p>
      <w:r>
        <w:t>[List each author’s specific contribution using initials. Confirm that every listed author meets authorship criteria and has approved the final manuscript.]</w:t>
      </w:r>
    </w:p>
    <w:p>
      <w:pPr>
        <w:pStyle w:val="Heading2"/>
      </w:pPr>
      <w:r>
        <w:t>Acknowledgements</w:t>
      </w:r>
    </w:p>
    <w:p>
      <w:r>
        <w:t>[Add permitted acknowledgements, or “Not applicable” after confirmation.]</w:t>
      </w:r>
    </w:p>
    <w:p>
      <w:pPr>
        <w:pStyle w:val="Heading1"/>
      </w:pPr>
      <w:r>
        <w:t>References</w:t>
      </w:r>
    </w:p>
    <w:p>
      <w:pPr>
        <w:ind w:left="432" w:hanging="432"/>
      </w:pPr>
      <w:r>
        <w:t>1. Jeyaparam S, Agha-Jaffar R, Mullins E, Pinho-Gomes AC, Khunti K, Robinson S. Retrospective cohort study of the association between socioeconomic deprivation and incidence of gestational diabetes and perinatal outcomes. BMC Public Health. 2024;24:184. doi:10.1186/s12889-023-17261-8.</w:t>
      </w:r>
    </w:p>
    <w:p>
      <w:pPr>
        <w:ind w:left="432" w:hanging="432"/>
      </w:pPr>
      <w:r>
        <w:t>2. Sappia MS. ACOUSLIC-AI: Abdominal Circumference Operator-agnostic UltraSound measurement in Low-Income Countries using Artificial Intelligence. Version 1.1. Zenodo. 2024. https://doi.org/10.5281/zenodo.12697994.</w:t>
      </w:r>
    </w:p>
    <w:p>
      <w:pPr>
        <w:ind w:left="432" w:hanging="432"/>
      </w:pPr>
      <w:r>
        <w:t>3. Sappia MS, de Korte CL, van Ginneken B, Ninalga D, Kondo S, et al. ACOUSLIC-AI challenge report: fetal abdominal circumference measurement on blind-sweep ultrasound data from low-income countries. Med Image Anal. 2025;105:103640. doi:10.1016/j.media.2025.103640.</w:t>
      </w:r>
    </w:p>
    <w:p>
      <w:pPr>
        <w:ind w:left="432" w:hanging="432"/>
      </w:pPr>
      <w:r>
        <w:t>4. Xu L, Skoularidou M, Cuesta-Infante A, Veeramachaneni K. Modeling tabular data using conditional GAN. Adv Neural Inf Process Syst. 2019;32:5485-5495.</w:t>
      </w:r>
    </w:p>
    <w:p>
      <w:pPr>
        <w:ind w:left="432" w:hanging="432"/>
      </w:pPr>
      <w:r>
        <w:t>5. Chen RTQ, Rubanova Y, Bettencourt J, Duvenaud D. Neural ordinary differential equations. Adv Neural Inf Process Syst. 2018;31:6571-6583.</w:t>
      </w:r>
    </w:p>
    <w:p>
      <w:pPr>
        <w:ind w:left="432" w:hanging="432"/>
      </w:pPr>
      <w:r>
        <w:t>6. Oktay O, Schlemper J, Le Folgoc L, Lee M, Heinrich M, Misawa K, et al. Attention U-Net: learning where to look for the pancreas. arXiv. 2018; arXiv:1804.03999.</w:t>
      </w:r>
    </w:p>
    <w:p>
      <w:pPr>
        <w:ind w:left="432" w:hanging="432"/>
      </w:pPr>
      <w:r>
        <w:t>7. Hadlock FP, Harrist RB, Sharman RS, Deter RL, Park SK. Sonographic estimation of fetal weight: the value of femur length in addition to head and abdomen measurements. Radiology. 1984;150(2):535-540. doi:10.1148/radiology.150.2.6691115.</w:t>
      </w:r>
    </w:p>
    <w:p>
      <w:pPr>
        <w:ind w:left="432" w:hanging="432"/>
      </w:pPr>
      <w:r>
        <w:t>8. Choi HY, Kim JH, Park JY, Jung EY, No JH, Oh KJ, Hong JS. Simple mathematical formulae for estimation of median values of fetal biometry at each gestational age. Obstet Gynecol Sci. 2016;59(2):91-96. doi:10.5468/ogs.2016.59.2.91.</w:t>
      </w:r>
    </w:p>
    <w:sectPr w:rsidR="00FC693F" w:rsidRPr="0006063C" w:rsidSect="00034616">
      <w:footerReference w:type="default" r:id="rId9"/>
      <w:pgSz w:w="12240" w:h="15840"/>
      <w:pgMar w:top="1440" w:right="1440" w:bottom="1440" w:left="1440"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240"/>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evidence audit of an integrated maternal-fetal informatics prototype</dc:title>
  <dc:subject>Manuscript prepared in BMC Medical Informatics and Decision Making research article structure</dc:subject>
  <dc:creator>Ayush Srivastava [author details to be confirmed]</dc:creator>
  <cp:keywords/>
  <dc:description>generated by python-docx</dc:description>
  <cp:lastModifiedBy/>
  <cp:revision>1</cp:revision>
  <dcterms:created xsi:type="dcterms:W3CDTF">2013-12-23T23:15:00Z</dcterms:created>
  <dcterms:modified xsi:type="dcterms:W3CDTF">2013-12-23T23:15:00Z</dcterms:modified>
  <cp:category/>
</cp:coreProperties>
</file>