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line="480" w:lineRule="auto"/>
      </w:pPr>
      <w:r>
        <w:rPr>
          <w:sz w:val="38"/>
        </w:rPr>
        <w:t>Development and preliminary evaluation of an integrated maternal-fetal informatics prototype for gestational diabetes modeling and fetal ultrasound analysis</w:t>
      </w:r>
    </w:p>
    <w:p>
      <w:pPr>
        <w:spacing w:line="480" w:lineRule="auto"/>
      </w:pPr>
      <w:r>
        <w:t>Article type: Research article (provisional)</w:t>
      </w:r>
    </w:p>
    <w:p>
      <w:pPr>
        <w:spacing w:line="480" w:lineRule="auto"/>
      </w:pPr>
      <w:r>
        <w:t>Authors: [Student name], [co-authors], [supervisor]</w:t>
        <w:br/>
        <w:t>Affiliations: [Department, institution, city, country]</w:t>
        <w:br/>
        <w:t>Corresponding author: [Name and email]</w:t>
      </w:r>
    </w:p>
    <w:p>
      <w:pPr>
        <w:pStyle w:val="Heading2"/>
        <w:spacing w:line="480" w:lineRule="auto"/>
      </w:pPr>
      <w:r>
        <w:t>Abstract</w:t>
      </w:r>
    </w:p>
    <w:p>
      <w:pPr>
        <w:pStyle w:val="Heading3"/>
        <w:spacing w:line="480" w:lineRule="auto"/>
      </w:pPr>
      <w:r>
        <w:t>Background</w:t>
      </w:r>
    </w:p>
    <w:p>
      <w:pPr>
        <w:spacing w:line="480" w:lineRule="auto"/>
      </w:pPr>
      <w:r>
        <w:t>This project developed an integrated research prototype for maternal gestational diabetes mellitus (GDM) modeling and fetal ultrasound analysis. It connects clinical data processing, synthetic cohort generation, continuous-time modeling, an internal-organ segmentation workflow, a separate fetal abdominal circumference (AC) segmentation checkpoint trained using ACOUSLIC-AI data, and an interactive application.</w:t>
      </w:r>
    </w:p>
    <w:p>
      <w:pPr>
        <w:pStyle w:val="Heading3"/>
        <w:spacing w:line="480" w:lineRule="auto"/>
      </w:pPr>
      <w:r>
        <w:t>Methods</w:t>
      </w:r>
    </w:p>
    <w:p>
      <w:pPr>
        <w:spacing w:line="480" w:lineRule="auto"/>
      </w:pPr>
      <w:r>
        <w:t>We reviewed the code and saved reports for a maternal cohort derived from anonymized Cerner records at St Mary's Hospital, London, collected from April 2016 to November 2019, and an open fetal ultrasound dataset. The maternal exploratory report describes 23,490 records and 48 raw fields. The project implements CTGAN synthesis, a stacked classifier, a hypergraph neural ordinary differential equation using fourth-order Runge-Kutta integration, an internal-organ Attention U-Net, and a separate AC-specific Attention U-Net checkpoint and inference pipeline trained using the ACOUSLIC-AI dataset (version 1.1). No model was retrained or evaluated on a held-out set for this manuscript.</w:t>
      </w:r>
    </w:p>
    <w:p>
      <w:pPr>
        <w:pStyle w:val="Heading3"/>
        <w:spacing w:line="480" w:lineRule="auto"/>
      </w:pPr>
      <w:r>
        <w:t>Results</w:t>
      </w:r>
    </w:p>
    <w:p>
      <w:pPr>
        <w:spacing w:line="480" w:lineRule="auto"/>
      </w:pPr>
      <w:r>
        <w:t>Saved reports describe 500 synthetic rows, correlation-preservation mean absolute error 0.0807, synthetic-only area under the receiver operating characteristic curve 0.532, and F1 score 0.0. A pipeline log reports perfect GDM metrics, which require independent reproduction and leakage review. Fetal training history records one epoch with validation Dice 0.00025. The current extractor does not delineate the abdominal boundary; AC-performance claims are unsupported by this checkout.</w:t>
      </w:r>
    </w:p>
    <w:p>
      <w:pPr>
        <w:pStyle w:val="Heading3"/>
        <w:spacing w:line="480" w:lineRule="auto"/>
      </w:pPr>
      <w:r>
        <w:t>Conclusions</w:t>
      </w:r>
    </w:p>
    <w:p>
      <w:pPr>
        <w:spacing w:line="480" w:lineRule="auto"/>
      </w:pPr>
      <w:r>
        <w:t>The repository supports a multi-component software prototype, not claims of clinical performance. Reproducible validation, dataset provenance, ethics documentation, and reconciliation of fetal model versions are required before submission.</w:t>
      </w:r>
    </w:p>
    <w:p>
      <w:pPr>
        <w:spacing w:line="480" w:lineRule="auto"/>
      </w:pPr>
      <w:r>
        <w:t>Keywords: gestational diabetes; maternal-fetal digital twin; synthetic data; CTGAN; neural ordinary differential equations; Attention U-Net; ultrasound; clinical prediction</w:t>
      </w:r>
    </w:p>
    <w:p>
      <w:pPr>
        <w:pStyle w:val="Heading2"/>
        <w:spacing w:line="480" w:lineRule="auto"/>
      </w:pPr>
      <w:r>
        <w:t>Background</w:t>
      </w:r>
    </w:p>
    <w:p>
      <w:pPr>
        <w:spacing w:line="480" w:lineRule="auto"/>
      </w:pPr>
      <w:r>
        <w:t>GDM is associated with risks to maternal and fetal health, making timely identification and monitoring important. Machine-learning systems may help organize clinical data and support research into risk stratification, while ultrasound image analysis may provide quantitative information about fetal anatomy. These tasks raise different data and validation challenges: tabular models depend on the timing and quality of clinical variables, and image models depend on representative scans, reliable annotations, and correct physical calibration.</w:t>
      </w:r>
      <w:r>
        <w:t xml:space="preserve"> Related work has examined machine-learning models for early GDM detection using first-trimester clinical measurements [6].</w:t>
      </w:r>
    </w:p>
    <w:p>
      <w:pPr>
        <w:spacing w:line="480" w:lineRule="auto"/>
      </w:pPr>
      <w:r>
        <w:t>Digital twins have been explored as a way to represent patient-specific states and generate synthetic trajectories or data. Recent work on type 1 diabetes used personalized digital twins to augment glucose-prediction data [1]. That work motivates investigation of synthetic data but does not establish that CTGAN-generated maternal records preserve pregnancy physiology or improve GDM prediction. Likewise, temporally detailed hypergraph neural ODEs have been studied for chronic disease progression [2]. Their use in this project is an adaptation, and pregnancy-specific validity must be demonstrated rather than assumed.</w:t>
      </w:r>
    </w:p>
    <w:p>
      <w:pPr>
        <w:spacing w:line="480" w:lineRule="auto"/>
      </w:pPr>
      <w:r>
        <w:t>For fetal imaging, the ACOUSLIC-AI challenge addresses abdominal circumference measurement from blind-sweep ultrasound and highlights the difficulty of translating freehand scans into reliable biometry [3]. Attention gates have been incorporated into U-Net architectures to focus segmentation on salient regions [4], while neural ODEs model hidden-state evolution continuously in time [5]. These references provide methodological context; their results are not results of the present project.</w:t>
      </w:r>
    </w:p>
    <w:p>
      <w:pPr>
        <w:spacing w:line="480" w:lineRule="auto"/>
      </w:pPr>
      <w:r>
        <w:t>This project's objective is to implement and connect prototype components for maternal GDM risk modeling, synthetic cohort exploration, continuous-time maternal state modeling, and fetal ultrasound feature extraction. The present manuscript reports the implementation and the evidence currently available in the repository, with limitations stated explicitly.</w:t>
      </w:r>
    </w:p>
    <w:p>
      <w:pPr>
        <w:pStyle w:val="Heading2"/>
        <w:spacing w:line="480" w:lineRule="auto"/>
      </w:pPr>
      <w:r>
        <w:t>Methods</w:t>
      </w:r>
    </w:p>
    <w:p>
      <w:pPr>
        <w:pStyle w:val="Heading3"/>
        <w:spacing w:line="480" w:lineRule="auto"/>
      </w:pPr>
      <w:r>
        <w:t>Use of generative AI</w:t>
      </w:r>
    </w:p>
    <w:p>
      <w:pPr>
        <w:spacing w:line="480" w:lineRule="auto"/>
      </w:pPr>
      <w:r>
        <w:t>OpenAI Codex (GPT-6) was used to assist with drafting and organization of this manuscript. The authors will review and verify the final manuscript and accept responsibility for its contents.</w:t>
      </w:r>
    </w:p>
    <w:p>
      <w:pPr>
        <w:pStyle w:val="Heading3"/>
        <w:spacing w:line="480" w:lineRule="auto"/>
      </w:pPr>
      <w:r>
        <w:t>Project design and data</w:t>
      </w:r>
    </w:p>
    <w:p>
      <w:pPr>
        <w:spacing w:line="480" w:lineRule="auto"/>
      </w:pPr>
      <w:r>
        <w:t>This work is a software and modeling prototype based on an existing maternal clinical dataset and fetal ultrasound image data. The repository's exploratory report describes 23,490 maternal records, 48 raw fields, and an outcome distribution of 1,854 GDM and 21,636 non-GDM records. The preprocessing log records cleaned data with 45 columns and a stratified split into 18,792 training and 4,698 test records. The raw dataset's source, collection dates, geographic setting, eligibility criteria, and linkage to fetal imaging are not specified in the current project files and must be added by the investigators.</w:t>
      </w:r>
    </w:p>
    <w:p>
      <w:pPr>
        <w:spacing w:line="480" w:lineRule="auto"/>
      </w:pPr>
      <w:r>
        <w:t>The project configuration specifies 12 intended maternal predictors: age, gestational age at booking, booking BMI, gravida, parity, previous caesarean count, deprivation rank, systolic and diastolic blood pressure, random glucose, fasting glucose, and 120-minute glucose. The configuration also lists delivery and postpartum variables for exclusion from early prediction. Before publication, the investigators must verify that every predictor was available at the intended prediction time, especially glucose-tolerance measurements that may be part of or follow GDM diagnosis.</w:t>
      </w:r>
    </w:p>
    <w:p>
      <w:pPr>
        <w:spacing w:line="480" w:lineRule="auto"/>
      </w:pPr>
      <w:r>
        <w:t>The repository contains two distinct fetal imaging workflows. One segments internal structures (artery, vein, liver, and stomach) and does not delineate the outer fetal abdominal contour; its organ-envelope features are not interpreted as AC. A separate binary Attention U-Net checkpoint (`models/new_model/best_attunet.pth`) and inference pipeline are designated for AC segmentation using ACOUSLIC-AI data. The checkpoint and sample sweep outputs are present, but a held-out evaluation report and split provenance sufficient to verify reported Dice and measurement error are not present.</w:t>
      </w:r>
    </w:p>
    <w:p>
      <w:pPr>
        <w:pStyle w:val="Heading3"/>
        <w:spacing w:line="480" w:lineRule="auto"/>
      </w:pPr>
      <w:r>
        <w:t>Preprocessing and maternal prediction</w:t>
      </w:r>
    </w:p>
    <w:p>
      <w:pPr>
        <w:spacing w:line="480" w:lineRule="auto"/>
      </w:pPr>
      <w:r>
        <w:t>The preprocessing implementation cleans the source table, separates the intended predictor columns from the GDM label, fits imputers, scaling, and categorical encoding on the training data, and transforms the train and test partitions. The stacked classifier combines random forest, XGBoost, and CatBoost probabilities using logistic regression as a meta-learner. Five-fold stratified out-of-fold predictions are used to train the meta-learner. The source code also implements comparison of a real-data model and a CTGAN-augmented model.</w:t>
      </w:r>
    </w:p>
    <w:p>
      <w:pPr>
        <w:spacing w:line="480" w:lineRule="auto"/>
      </w:pPr>
      <w:r>
        <w:t>The integrated training log contains near-perfect and perfect GDM metrics. Because such performance may reflect a genuine data property, label leakage, split or preprocessing issues, or a stale checkpoint, it is reported here only as an existing software log output. It is not treated as validated performance. A new analysis should document the endpoint definition, feature timestamps, unit of splitting, missing-data handling, calibration, confidence intervals, and an external or temporally separated evaluation where available.</w:t>
      </w:r>
    </w:p>
    <w:p>
      <w:pPr>
        <w:pStyle w:val="Heading3"/>
        <w:spacing w:line="480" w:lineRule="auto"/>
      </w:pPr>
      <w:r>
        <w:t>Synthetic data</w:t>
      </w:r>
    </w:p>
    <w:p>
      <w:pPr>
        <w:spacing w:line="480" w:lineRule="auto"/>
      </w:pPr>
      <w:r>
        <w:t>A CTGAN wrapper is included for generating maternal clinical records. The repository's synthetic utility report describes 500 synthetic rows and 45 fields. It reports correlation-preservation MAE of 0.0807 and a nearest-neighbor privacy heuristic with zero near-duplicates under the chosen threshold. In the same report, a synthetic-only train-on-synthetic/test-on-real analysis yields ROC-AUC 0.532 and F1 0.0. These measurements describe the recorded evaluation and should not be interpreted as proof of privacy, fairness, or clinical utility. The report's privacy-risk category is a heuristic and is not a formal differential-privacy guarantee.</w:t>
      </w:r>
    </w:p>
    <w:p>
      <w:pPr>
        <w:pStyle w:val="Heading3"/>
        <w:spacing w:line="480" w:lineRule="auto"/>
      </w:pPr>
      <w:r>
        <w:t>Continuous-time model</w:t>
      </w:r>
    </w:p>
    <w:p>
      <w:pPr>
        <w:spacing w:line="480" w:lineRule="auto"/>
      </w:pPr>
      <w:r>
        <w:t>The neural ODE implementation uses a hypergraph encoder over 12 maternal features to condition a continuous-time state model. Its state contains glucose, BMI, and systolic blood pressure. A neural vector field is integrated using fixed-step fourth-order Runge-Kutta, and training code includes state reconstruction and a soft penalty against decreasing BMI trajectories. This monotonicity term is a project modeling choice, not a clinical law. The repository contains implementation code but no current, self-contained checkpoint and validation report sufficient to reproduce the model's reported predictive or trajectory performance.</w:t>
      </w:r>
    </w:p>
    <w:p>
      <w:pPr>
        <w:pStyle w:val="Heading3"/>
        <w:spacing w:line="480" w:lineRule="auto"/>
      </w:pPr>
      <w:r>
        <w:t>Fetal image model and feature extraction</w:t>
      </w:r>
    </w:p>
    <w:p>
      <w:pPr>
        <w:spacing w:line="480" w:lineRule="auto"/>
      </w:pPr>
      <w:r>
        <w:t>The fetal segmentation code implements an Attention U-Net workflow and extracts morphological descriptors from predicted internal-organ masks. The available training history records one epoch with training Dice 0.1305 and validation Dice 0.00025. A separate project handoff note describes an AC-specific model and different performance figures, but its model checkpoint and evaluation outputs are not included in this checkout. The discrepancy must be resolved by identifying the exact architecture, label definition, dataset split, checkpoint, and inference code used for each result.</w:t>
      </w:r>
    </w:p>
    <w:p>
      <w:pPr>
        <w:spacing w:line="480" w:lineRule="auto"/>
      </w:pPr>
      <w:r>
        <w:t>No fetal AC measurement error or agreement statistic is reported as a result of the present implementation. The ACOUSLIC-AI challenge report is used as related work [3], not as a benchmark result for this project. A valid AC study would require a mask or measurement target for the abdominal contour, scanner calibration, a defined reference protocol, subject-level separation, and paired measurement analysis.</w:t>
      </w:r>
    </w:p>
    <w:p>
      <w:pPr>
        <w:pStyle w:val="Heading3"/>
        <w:spacing w:line="480" w:lineRule="auto"/>
      </w:pPr>
      <w:r>
        <w:t>Application and integration</w:t>
      </w:r>
    </w:p>
    <w:p>
      <w:pPr>
        <w:spacing w:line="480" w:lineRule="auto"/>
      </w:pPr>
      <w:r>
        <w:t>The repository contains a Streamlit application, a digital-twin state manager, a recommendation engine, and database configuration with local fallback settings. These components indicate an application prototype. The current evidence does not document a live cloud deployment, clinician usability study, prospective evaluation, or clinical integration. Any displayed AC value should be sourced from a valid manual or validated automated measurement and distinguished from internal-organ proxy features.</w:t>
      </w:r>
    </w:p>
    <w:p>
      <w:pPr>
        <w:pStyle w:val="Heading3"/>
        <w:spacing w:line="480" w:lineRule="auto"/>
      </w:pPr>
      <w:r>
        <w:t>Ethics, privacy, and intended use</w:t>
      </w:r>
    </w:p>
    <w:p>
      <w:pPr>
        <w:spacing w:line="480" w:lineRule="auto"/>
      </w:pPr>
      <w:r>
        <w:t>The files reviewed do not contain an ethics approval identifier, consent waiver, data-use agreement, or institutional determination. These details must be supplied by the research team; they must not be inferred from de-identification or from a dataset's availability. Until the model and data governance are validated, the system should be described as a research prototype and not as a diagnostic or treatment recommendation tool.</w:t>
      </w:r>
    </w:p>
    <w:p>
      <w:pPr>
        <w:pStyle w:val="Heading2"/>
        <w:spacing w:line="480" w:lineRule="auto"/>
      </w:pPr>
      <w:r>
        <w:t>Results</w:t>
      </w:r>
    </w:p>
    <w:p>
      <w:pPr>
        <w:pStyle w:val="Heading3"/>
        <w:spacing w:line="480" w:lineRule="auto"/>
      </w:pPr>
      <w:r>
        <w:t>Data and software pipeline</w:t>
      </w:r>
    </w:p>
    <w:p>
      <w:pPr>
        <w:spacing w:line="480" w:lineRule="auto"/>
      </w:pPr>
      <w:r>
        <w:t>The EDA report describes 23,490 records and 48 raw variables. The class counts correspond to approximately 7.9% GDM-positive records. The preprocessing log records an 80/20 split of 18,792 and 4,698 records and reports a cleaned table of 45 columns. The integrated training log records successful completion of its pipeline stages, including loading previously trained artifacts from a path outside the current checkout. A successful pipeline run establishes execution, not model validity.</w:t>
      </w:r>
    </w:p>
    <w:p>
      <w:pPr>
        <w:pStyle w:val="Heading3"/>
        <w:spacing w:line="480" w:lineRule="auto"/>
      </w:pPr>
      <w:r>
        <w:t>Synthetic-data evaluation</w:t>
      </w:r>
    </w:p>
    <w:p>
      <w:pPr>
        <w:spacing w:line="480" w:lineRule="auto"/>
      </w:pPr>
      <w:r>
        <w:t>The saved synthetic-data report records 500 generated examples across 45 fields. Correlation-preservation MAE is 0.0807; the report's near-duplicate heuristic identifies zero examples. Synthetic-only train-on-synthetic/test-on-real performance is ROC-AUC 0.532 and F1 0.0, while the report records perfect performance for the real-data comparison. These results require methodological review and should not be summarized as CTGAN superiority.</w:t>
      </w:r>
    </w:p>
    <w:p>
      <w:pPr>
        <w:pStyle w:val="Heading3"/>
        <w:spacing w:line="480" w:lineRule="auto"/>
      </w:pPr>
      <w:r>
        <w:t>Maternal model outputs</w:t>
      </w:r>
    </w:p>
    <w:p>
      <w:pPr>
        <w:spacing w:line="480" w:lineRule="auto"/>
      </w:pPr>
      <w:r>
        <w:t>The September 2026 pipeline log records GDM stacking metrics of 1.0 for accuracy, precision, recall, F1, and ROC-AUC on its logged final test set; the same log records out-of-fold ROC-AUC close to 1.0. The supplied project foundation also mentions ROC-AUC 0.884, but that value is not present in the current reports reviewed. These inconsistent values are not combined. The perfect results are flagged for audit and are not presented as a reliable estimate of prospective performance.</w:t>
      </w:r>
    </w:p>
    <w:p>
      <w:pPr>
        <w:pStyle w:val="Heading3"/>
        <w:spacing w:line="480" w:lineRule="auto"/>
      </w:pPr>
      <w:r>
        <w:t>Fetal model outputs</w:t>
      </w:r>
    </w:p>
    <w:p>
      <w:pPr>
        <w:spacing w:line="480" w:lineRule="auto"/>
      </w:pPr>
      <w:r>
        <w:t>The saved fetal history contains only one epoch and a validation Dice of 0.00025. The current extractor's stated output is internal-organ geometry, not fetal abdominal circumference. The AC-specific checkpoint is present, but the handoff claims of Dice above 0.94 and approximately 5.3 mm mean absolute error are not supported by an auditable held-out evaluation in this repository. No comparison against challenge teams is reported for this project.</w:t>
      </w:r>
    </w:p>
    <w:p>
      <w:pPr>
        <w:pStyle w:val="Heading3"/>
        <w:spacing w:line="480" w:lineRule="auto"/>
      </w:pPr>
      <w:r>
        <w:t>Continuous-time model and application</w:t>
      </w:r>
    </w:p>
    <w:p>
      <w:pPr>
        <w:spacing w:line="480" w:lineRule="auto"/>
      </w:pPr>
      <w:r>
        <w:t>The source code provides the hypergraph-conditioned ODE architecture, RK4 solver, prototype interface, and patient-state management. No current validation metrics for trajectory prediction, no reproducible multimodal ablation, and no deployment or usability results were found in the reviewed project reports.</w:t>
      </w:r>
    </w:p>
    <w:p>
      <w:pPr>
        <w:pStyle w:val="Heading2"/>
        <w:spacing w:line="480" w:lineRule="auto"/>
      </w:pPr>
      <w:r>
        <w:t>Discussion</w:t>
      </w:r>
    </w:p>
    <w:p>
      <w:pPr>
        <w:spacing w:line="480" w:lineRule="auto"/>
      </w:pPr>
      <w:r>
        <w:t>The main contribution demonstrated by the available files is integration-oriented engineering: a maternal-data pipeline, a synthetic-data module, an ensemble classifier, a continuous-time model, fetal internal-organ segmentation, and an application prototype coexist in one repository. This is a meaningful capstone implementation scope, but implementation breadth should not be confused with demonstrated clinical performance.</w:t>
      </w:r>
    </w:p>
    <w:p>
      <w:pPr>
        <w:spacing w:line="480" w:lineRule="auto"/>
      </w:pPr>
      <w:r>
        <w:t>The largest issue for the maternal prediction claim is the gap between very high logged scores and the absence of an auditable evaluation package. The prediction timepoint must be fixed before feature selection; glucose-tolerance measures can encode the diagnostic process itself. Patient-level separation, feature generation within each training fold, and analysis of checkpoint provenance should be checked. The log's perfect result should remain provisional until these checks are complete.</w:t>
      </w:r>
    </w:p>
    <w:p>
      <w:pPr>
        <w:spacing w:line="480" w:lineRule="auto"/>
      </w:pPr>
      <w:r>
        <w:t>The fetal workflow contains both an internal-organ model and a separate AC-specific checkpoint. This distinction resolves the apparent target mismatch in code, but not the evaluation gap: the AC checkpoint is present while the claimed validation Dice and approximately 5.3 mm mean absolute error remain unsupported by a reproducible held-out analysis in the checkout. ACOUSLIC-AI version 1.1 corrected an earlier factor-of-two error in its reference circumference measurements [7], so the dataset version must be stated and the reported results reproduced against version 1.1 before those performance claims are included.</w:t>
      </w:r>
    </w:p>
    <w:p>
      <w:pPr>
        <w:spacing w:line="480" w:lineRule="auto"/>
      </w:pPr>
      <w:r>
        <w:t>Synthetic-data evaluation also needs a balanced interpretation. A small correlation error and no near-duplicates under one heuristic do not establish privacy or preservation of all clinically important relationships. The low synthetic-only F1 in the saved report suggests that downstream utility is not yet demonstrated. Privacy claims require an explicit threat model and suitable formal or empirical analysis.</w:t>
      </w:r>
    </w:p>
    <w:p>
      <w:pPr>
        <w:spacing w:line="480" w:lineRule="auto"/>
      </w:pPr>
      <w:r>
        <w:t>The ODE component draws on continuous-time and hypergraph methods [2, 5], but model constraints and learned trajectories require clinical justification. A monotonicity penalty may regularize the model but cannot substitute for longitudinal observations. A trajectory generated from static or sparsely sampled data should be labeled as a model projection, with uncertainty and validation limits made clear.</w:t>
      </w:r>
    </w:p>
    <w:p>
      <w:pPr>
        <w:pStyle w:val="Heading3"/>
        <w:spacing w:line="480" w:lineRule="auto"/>
      </w:pPr>
      <w:r>
        <w:t>Limitations</w:t>
      </w:r>
    </w:p>
    <w:p>
      <w:pPr>
        <w:pStyle w:val="ListBullet"/>
        <w:spacing w:line="480" w:lineRule="auto"/>
      </w:pPr>
      <w:r>
        <w:t>The dataset source, cohort criteria, measurement timing, ethics status, and data-use permissions are not documented in the reviewed repository.</w:t>
      </w:r>
    </w:p>
    <w:p>
      <w:pPr>
        <w:pStyle w:val="ListBullet"/>
        <w:spacing w:line="480" w:lineRule="auto"/>
      </w:pPr>
      <w:r>
        <w:t>The logged GDM scores are unusually high and have not been independently reproduced or audited for leakage.</w:t>
      </w:r>
    </w:p>
    <w:p>
      <w:pPr>
        <w:pStyle w:val="ListBullet"/>
        <w:spacing w:line="480" w:lineRule="auto"/>
      </w:pPr>
      <w:r>
        <w:t>The internal-organ model's recorded validation Dice is extremely low after one epoch. A separate AC-specific checkpoint is present, but the handoff's performance claims lack auditable held-out predictions and split documentation.</w:t>
      </w:r>
    </w:p>
    <w:p>
      <w:pPr>
        <w:pStyle w:val="ListBullet"/>
        <w:spacing w:line="480" w:lineRule="auto"/>
      </w:pPr>
      <w:r>
        <w:t>The implemented fetal extractor labels internal anatomy and cannot establish fetal AC from its organ-envelope proxy.</w:t>
      </w:r>
    </w:p>
    <w:p>
      <w:pPr>
        <w:pStyle w:val="ListBullet"/>
        <w:spacing w:line="480" w:lineRule="auto"/>
      </w:pPr>
      <w:r>
        <w:t>CTGAN privacy and utility are supported only by preliminary heuristic diagnostics; no formal privacy guarantee is established.</w:t>
      </w:r>
    </w:p>
    <w:p>
      <w:pPr>
        <w:pStyle w:val="ListBullet"/>
        <w:spacing w:line="480" w:lineRule="auto"/>
      </w:pPr>
      <w:r>
        <w:t>There is no confirmed multimodal performance comparison, prospective clinical validation, deployment evaluation, or user study.</w:t>
      </w:r>
    </w:p>
    <w:p>
      <w:pPr>
        <w:pStyle w:val="Heading2"/>
        <w:spacing w:line="480" w:lineRule="auto"/>
      </w:pPr>
      <w:r>
        <w:t>Conclusions</w:t>
      </w:r>
    </w:p>
    <w:p>
      <w:pPr>
        <w:spacing w:line="480" w:lineRule="auto"/>
      </w:pPr>
      <w:r>
        <w:t>This project implements a broad maternal-fetal digital-twin software prototype combining tabular modeling, synthetic cohort generation, continuous-time dynamics, ultrasound organ segmentation, and an interactive application. The evidence currently available supports describing the implementation and its preliminary diagnostics. It does not support claims of validated early GDM prediction, automated fetal AC accuracy, clinical utility, formal privacy protection, or deployment readiness. The next stage should focus on data provenance, leakage-resistant validation, fetal model reconciliation, and reproducible result reporting.</w:t>
      </w:r>
    </w:p>
    <w:p>
      <w:pPr>
        <w:pStyle w:val="Heading2"/>
        <w:spacing w:line="480" w:lineRule="auto"/>
      </w:pPr>
      <w:r>
        <w:t>Declarations</w:t>
      </w:r>
    </w:p>
    <w:p>
      <w:pPr>
        <w:pStyle w:val="Heading3"/>
        <w:keepNext/>
        <w:spacing w:line="480" w:lineRule="auto"/>
      </w:pPr>
      <w:r>
        <w:t>Ethics approval and consent to participate</w:t>
      </w:r>
    </w:p>
    <w:p>
      <w:pPr>
        <w:spacing w:line="480" w:lineRule="auto"/>
      </w:pPr>
      <w:r>
        <w:t>The source maternal cohort was anonymized and the original study was registered with the Imperial College Healthcare NHS Trust Audit and Governance Department [8]. The ethics/governance determination and authorization applicable to the present secondary analysis must be confirmed by the authors before submission.</w:t>
      </w:r>
    </w:p>
    <w:p>
      <w:pPr>
        <w:pStyle w:val="Heading3"/>
        <w:keepNext/>
        <w:spacing w:line="480" w:lineRule="auto"/>
      </w:pPr>
      <w:r>
        <w:t>Consent for publication</w:t>
      </w:r>
    </w:p>
    <w:p>
      <w:pPr>
        <w:spacing w:line="480" w:lineRule="auto"/>
      </w:pPr>
      <w:r>
        <w:t>[Confirm; state not applicable only when appropriate.]</w:t>
      </w:r>
    </w:p>
    <w:p>
      <w:pPr>
        <w:pStyle w:val="Heading3"/>
        <w:keepNext/>
        <w:spacing w:line="480" w:lineRule="auto"/>
      </w:pPr>
      <w:r>
        <w:t>Availability of data and materials</w:t>
      </w:r>
    </w:p>
    <w:p>
      <w:pPr>
        <w:spacing w:line="480" w:lineRule="auto"/>
      </w:pPr>
      <w:r>
        <w:t>The ACOUSLIC-AI training dataset version 1.1 is available from Zenodo (doi:10.5281/zenodo.12697994) under CC BY-NC-SA 4.0 [7]. The maternal dataset is available via Figshare (doi:10.6084/m9.figshare.21806472) [8]; confirm the terms governing this analysis and state the code repository URL and version.</w:t>
      </w:r>
    </w:p>
    <w:p>
      <w:pPr>
        <w:pStyle w:val="Heading3"/>
        <w:keepNext/>
        <w:spacing w:line="480" w:lineRule="auto"/>
      </w:pPr>
      <w:r>
        <w:t>Competing interests</w:t>
      </w:r>
    </w:p>
    <w:p>
      <w:pPr>
        <w:spacing w:line="480" w:lineRule="auto"/>
      </w:pPr>
      <w:r>
        <w:t>[Complete by all authors.]</w:t>
      </w:r>
    </w:p>
    <w:p>
      <w:pPr>
        <w:pStyle w:val="Heading3"/>
        <w:keepNext/>
        <w:spacing w:line="480" w:lineRule="auto"/>
      </w:pPr>
      <w:r>
        <w:t>Funding</w:t>
      </w:r>
    </w:p>
    <w:p>
      <w:pPr>
        <w:spacing w:line="480" w:lineRule="auto"/>
      </w:pPr>
      <w:r>
        <w:t>[Complete.]</w:t>
      </w:r>
    </w:p>
    <w:p>
      <w:pPr>
        <w:pStyle w:val="Heading3"/>
        <w:keepNext/>
        <w:spacing w:line="480" w:lineRule="auto"/>
      </w:pPr>
      <w:r>
        <w:t>Authors' contributions</w:t>
      </w:r>
    </w:p>
    <w:p>
      <w:pPr>
        <w:spacing w:line="480" w:lineRule="auto"/>
      </w:pPr>
      <w:r>
        <w:t>[Describe actual individual contributions.]</w:t>
      </w:r>
    </w:p>
    <w:p>
      <w:pPr>
        <w:pStyle w:val="Heading3"/>
        <w:keepNext/>
        <w:spacing w:line="480" w:lineRule="auto"/>
      </w:pPr>
      <w:r>
        <w:t>Acknowledgements</w:t>
      </w:r>
    </w:p>
    <w:p>
      <w:pPr>
        <w:spacing w:line="480" w:lineRule="auto"/>
      </w:pPr>
      <w:r>
        <w:t>Not applicable.</w:t>
      </w:r>
    </w:p>
    <w:p>
      <w:pPr>
        <w:pStyle w:val="Heading2"/>
        <w:spacing w:line="480" w:lineRule="auto"/>
      </w:pPr>
      <w:r>
        <w:t>List of abbreviations</w:t>
      </w:r>
    </w:p>
    <w:p>
      <w:pPr>
        <w:spacing w:line="480" w:lineRule="auto"/>
      </w:pPr>
      <w:r>
        <w:t>AC, abdominal circumference; AUC, area under the receiver operating characteristic curve; CTGAN, conditional tabular generative adversarial network; EHR, electronic health record; GDM, gestational diabetes mellitus; ODE, ordinary differential equation; RK4, fourth-order Runge-Kutta; U-Net, U-shaped convolutional neural network.</w:t>
      </w:r>
    </w:p>
    <w:p>
      <w:pPr>
        <w:pStyle w:val="Heading2"/>
        <w:spacing w:line="480" w:lineRule="auto"/>
      </w:pPr>
      <w:r>
        <w:t>References</w:t>
      </w:r>
    </w:p>
    <w:p>
      <w:pPr>
        <w:spacing w:line="480" w:lineRule="auto"/>
      </w:pPr>
      <w:r>
        <w:t>[1] Prendin F, Facchinetti A, Cappon G. Data augmentation via digital twins to develop personalized deep learning glucose prediction algorithms for type 1 diabetes in poor data context. IEEE Trans Biomed Eng. 2026;73(7):2496-2506.</w:t>
      </w:r>
    </w:p>
    <w:p>
      <w:pPr>
        <w:spacing w:line="480" w:lineRule="auto"/>
      </w:pPr>
      <w:r>
        <w:t>[2] Xiao T, Lee YA, Xu Z, Zhang Y, Liu Z, Huang Y, et al. Temporally detailed hypergraph neural ODEs for disease progression modeling. International Conference on Learning Representations. 2026. arXiv:2510.17211.</w:t>
      </w:r>
    </w:p>
    <w:p>
      <w:pPr>
        <w:spacing w:line="480" w:lineRule="auto"/>
      </w:pPr>
      <w:r>
        <w:t>[3] Sappia MS, de Korte CL, van Ginneken B, Ninalga D, Kondo S, et al. ACOUSLIC-AI challenge report: fetal abdominal circumference measurement on blind-sweep ultrasound data from low-income countries. Med Image Anal. 2025;105:103640.</w:t>
      </w:r>
    </w:p>
    <w:p>
      <w:pPr>
        <w:spacing w:line="480" w:lineRule="auto"/>
      </w:pPr>
      <w:r>
        <w:t>[4] Oktay O, Schlemper J, Le Folgoc L, Lee M, Heinrich M, Misawa K, et al. Attention U-Net: learning where to look for the pancreas. arXiv:1804.03999. 2018.</w:t>
      </w:r>
    </w:p>
    <w:p>
      <w:pPr>
        <w:spacing w:line="480" w:lineRule="auto"/>
      </w:pPr>
      <w:r>
        <w:t>[5] Chen RTQ, Rubanova Y, Bettencourt J, Duvenaud D. Neural ordinary differential equations. Adv Neural Inf Process Syst. 2018;31.</w:t>
      </w:r>
    </w:p>
    <w:p>
      <w:pPr>
        <w:spacing w:line="480" w:lineRule="auto"/>
      </w:pPr>
      <w:r>
        <w:t>[6] Zaky H, Fthenou E, Srour L, Farrell T, Bashir M, El Hajj N, Alam T. Machine learning based model for the early detection of gestational diabetes mellitus. BMC Med Inform Decis Mak. 2025;25:130. doi:10.1186/s12911-025-02947-3.</w:t>
        <w:br/>
        <w:t>[7] Sappia MS. ACOUSLIC-AI: Abdominal Circumference Operator-agnostic UltraSound measurement in Low-Income Countries using Artificial Intelligence. Version 1.1. Zenodo; 2024. doi:10.5281/zenodo.12697994.</w:t>
        <w:br/>
        <w:t>[8] Jeyaparam S, Agha-Jaffar R, Robinson S, Khunti K, et al. Retrospective cohort study of the association between socioeconomic deprivation and incidence of gestational diabetes and perinatal outcomes. BMC Public Health. 2024;24:184. doi:10.1186/s12889-023-17261-8.</w:t>
      </w:r>
    </w:p>
    <w:p>
      <w:pPr>
        <w:pStyle w:val="Heading2"/>
        <w:spacing w:line="480" w:lineRule="auto"/>
      </w:pPr>
      <w:r>
        <w:t>Author completion checklist - remove this section before submission</w:t>
      </w:r>
    </w:p>
    <w:p>
      <w:pPr>
        <w:pStyle w:val="ListBullet"/>
        <w:spacing w:line="480" w:lineRule="auto"/>
      </w:pPr>
      <w:r>
        <w:t>Confirm the article type with the journal and define one primary research question supported by reproducible results.</w:t>
      </w:r>
    </w:p>
    <w:p>
      <w:pPr>
        <w:pStyle w:val="ListBullet"/>
        <w:spacing w:line="480" w:lineRule="auto"/>
      </w:pPr>
      <w:r>
        <w:t>Complete dataset provenance, cohort criteria, outcome definition, predictor timing, ethics approval, consent, and data permissions.</w:t>
      </w:r>
    </w:p>
    <w:p>
      <w:pPr>
        <w:pStyle w:val="ListBullet"/>
        <w:spacing w:line="480" w:lineRule="auto"/>
      </w:pPr>
      <w:r>
        <w:t>Repeat the maternal model evaluation with a leakage-resistant, patient-level design; resolve the reported AUC 0.884 versus 1.0 discrepancy and report uncertainty.</w:t>
      </w:r>
    </w:p>
    <w:p>
      <w:pPr>
        <w:pStyle w:val="ListBullet"/>
        <w:spacing w:line="480" w:lineRule="auto"/>
      </w:pPr>
      <w:r>
        <w:t>Identify the fetal model checkpoint and training split; reproduce segmentation metrics and any AC analysis using valid contour labels and calibration.</w:t>
      </w:r>
    </w:p>
    <w:p>
      <w:pPr>
        <w:pStyle w:val="ListBullet"/>
        <w:spacing w:line="480" w:lineRule="auto"/>
      </w:pPr>
      <w:r>
        <w:t>Complete synthetic-data utility and privacy evaluation; do not present the current heuristic as a formal privacy guarantee.</w:t>
      </w:r>
    </w:p>
    <w:p>
      <w:pPr>
        <w:pStyle w:val="ListBullet"/>
        <w:spacing w:line="480" w:lineRule="auto"/>
      </w:pPr>
      <w:r>
        <w:t>Confirm code and data availability, software license, author names and contributions, funding, competing interests, and acknowledgements.</w:t>
      </w:r>
    </w:p>
    <w:p>
      <w:pPr>
        <w:pStyle w:val="ListBullet"/>
        <w:spacing w:line="480" w:lineRule="auto"/>
      </w:pPr>
      <w:r>
        <w:t>Verify every citation and complete the journal-specific reporting checklist before submission.</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Working draft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0000"/>
      </w:rPr>
      <w:t>MATERNAL DIGITAL TWIN PROJECT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Aptos" w:hAnsi="Aptos"/>
      <w:color w:val="232B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