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MDT-GEN:</w:t>
      </w:r>
      <w:r>
        <w:t xml:space="preserve"> </w:t>
      </w:r>
      <w:r>
        <w:t xml:space="preserve">A</w:t>
      </w:r>
      <w:r>
        <w:t xml:space="preserve"> </w:t>
      </w:r>
      <w:r>
        <w:t xml:space="preserve">Multimodal</w:t>
      </w:r>
      <w:r>
        <w:t xml:space="preserve"> </w:t>
      </w:r>
      <w:r>
        <w:t xml:space="preserve">Maternal–Fetal</w:t>
      </w:r>
      <w:r>
        <w:t xml:space="preserve"> </w:t>
      </w:r>
      <w:r>
        <w:t xml:space="preserve">Digital</w:t>
      </w:r>
      <w:r>
        <w:t xml:space="preserve"> </w:t>
      </w:r>
      <w:r>
        <w:t xml:space="preserve">Twin</w:t>
      </w:r>
      <w:r>
        <w:t xml:space="preserve"> </w:t>
      </w:r>
      <w:r>
        <w:t xml:space="preserve">for</w:t>
      </w:r>
      <w:r>
        <w:t xml:space="preserve"> </w:t>
      </w:r>
      <w:r>
        <w:t xml:space="preserve">Early</w:t>
      </w:r>
      <w:r>
        <w:t xml:space="preserve"> </w:t>
      </w:r>
      <w:r>
        <w:t xml:space="preserve">Screening</w:t>
      </w:r>
      <w:r>
        <w:t xml:space="preserve"> </w:t>
      </w:r>
      <w:r>
        <w:t xml:space="preserve">of</w:t>
      </w:r>
      <w:r>
        <w:t xml:space="preserve"> </w:t>
      </w:r>
      <w:r>
        <w:t xml:space="preserve">Gestational</w:t>
      </w:r>
      <w:r>
        <w:t xml:space="preserve"> </w:t>
      </w:r>
      <w:r>
        <w:t xml:space="preserve">Diabetes</w:t>
      </w:r>
      <w:r>
        <w:t xml:space="preserve"> </w:t>
      </w:r>
      <w:r>
        <w:t xml:space="preserve">and</w:t>
      </w:r>
      <w:r>
        <w:t xml:space="preserve"> </w:t>
      </w:r>
      <w:r>
        <w:t xml:space="preserve">Macrosomia</w:t>
      </w:r>
    </w:p>
    <w:p>
      <w:pPr>
        <w:pStyle w:val="Author"/>
      </w:pPr>
      <w:r>
        <w:t xml:space="preserve">R.</w:t>
      </w:r>
      <w:r>
        <w:t xml:space="preserve"> </w:t>
      </w:r>
      <w:r>
        <w:t xml:space="preserve">Nirmalan,</w:t>
      </w:r>
      <w:r>
        <w:t xml:space="preserve"> </w:t>
      </w:r>
      <w:r>
        <w:t xml:space="preserve">Assistant</w:t>
      </w:r>
      <w:r>
        <w:t xml:space="preserve"> </w:t>
      </w:r>
      <w:r>
        <w:t xml:space="preserve">Professor</w:t>
      </w:r>
      <w:r>
        <w:t xml:space="preserve"> </w:t>
      </w:r>
      <w:r>
        <w:t xml:space="preserve">(Sr.G)</w:t>
      </w:r>
    </w:p>
    <w:p>
      <w:pPr>
        <w:pStyle w:val="Author"/>
      </w:pPr>
      <w:r>
        <w:t xml:space="preserve">G.</w:t>
      </w:r>
      <w:r>
        <w:t xml:space="preserve"> </w:t>
      </w:r>
      <w:r>
        <w:t xml:space="preserve">A.</w:t>
      </w:r>
      <w:r>
        <w:t xml:space="preserve"> </w:t>
      </w:r>
      <w:r>
        <w:t xml:space="preserve">Srivarsha</w:t>
      </w:r>
    </w:p>
    <w:p>
      <w:pPr>
        <w:pStyle w:val="Author"/>
      </w:pPr>
      <w:r>
        <w:t xml:space="preserve">P.</w:t>
      </w:r>
      <w:r>
        <w:t xml:space="preserve"> </w:t>
      </w:r>
      <w:r>
        <w:t xml:space="preserve">Sankari</w:t>
      </w:r>
    </w:p>
    <w:p>
      <w:pPr>
        <w:pStyle w:val="Date"/>
      </w:pPr>
      <w:r>
        <w:t xml:space="preserve">Department</w:t>
      </w:r>
      <w:r>
        <w:t xml:space="preserve"> </w:t>
      </w:r>
      <w:r>
        <w:t xml:space="preserve">of</w:t>
      </w:r>
      <w:r>
        <w:t xml:space="preserve"> </w:t>
      </w:r>
      <w:r>
        <w:t xml:space="preserve">Artificial</w:t>
      </w:r>
      <w:r>
        <w:t xml:space="preserve"> </w:t>
      </w:r>
      <w:r>
        <w:t xml:space="preserve">Intelligence</w:t>
      </w:r>
      <w:r>
        <w:t xml:space="preserve"> </w:t>
      </w:r>
      <w:r>
        <w:t xml:space="preserve">and</w:t>
      </w:r>
      <w:r>
        <w:t xml:space="preserve"> </w:t>
      </w:r>
      <w:r>
        <w:t xml:space="preserve">Data</w:t>
      </w:r>
      <w:r>
        <w:t xml:space="preserve"> </w:t>
      </w:r>
      <w:r>
        <w:t xml:space="preserve">Science,</w:t>
      </w:r>
      <w:r>
        <w:t xml:space="preserve"> </w:t>
      </w:r>
      <w:r>
        <w:t xml:space="preserve">Mepco</w:t>
      </w:r>
      <w:r>
        <w:t xml:space="preserve"> </w:t>
      </w:r>
      <w:r>
        <w:t xml:space="preserve">Schlenk</w:t>
      </w:r>
      <w:r>
        <w:t xml:space="preserve"> </w:t>
      </w:r>
      <w:r>
        <w:t xml:space="preserve">Engineering</w:t>
      </w:r>
      <w:r>
        <w:t xml:space="preserve"> </w:t>
      </w:r>
      <w:r>
        <w:t xml:space="preserve">College,</w:t>
      </w:r>
      <w:r>
        <w:t xml:space="preserve"> </w:t>
      </w:r>
      <w:r>
        <w:t xml:space="preserve">Sivakasi,</w:t>
      </w:r>
      <w:r>
        <w:t xml:space="preserve"> </w:t>
      </w:r>
      <w:r>
        <w:t xml:space="preserve">India</w:t>
      </w:r>
      <w:r>
        <w:t xml:space="preserve"> </w:t>
      </w:r>
      <w:r>
        <w:t xml:space="preserve">—</w:t>
      </w:r>
      <w:r>
        <w:t xml:space="preserve"> </w:t>
      </w:r>
      <w:r>
        <w:t xml:space="preserve">Draft</w:t>
      </w:r>
      <w:r>
        <w:t xml:space="preserve"> </w:t>
      </w:r>
      <w:r>
        <w:t xml:space="preserve">for</w:t>
      </w:r>
      <w:r>
        <w:t xml:space="preserve"> </w:t>
      </w:r>
      <w:r>
        <w:t xml:space="preserve">mentor</w:t>
      </w:r>
      <w:r>
        <w:t xml:space="preserve"> </w:t>
      </w:r>
      <w:r>
        <w:t xml:space="preserve">review,</w:t>
      </w:r>
      <w:r>
        <w:t xml:space="preserve"> </w:t>
      </w:r>
      <w:r>
        <w:t xml:space="preserve">25</w:t>
      </w:r>
      <w:r>
        <w:t xml:space="preserve"> </w:t>
      </w:r>
      <w:r>
        <w:t xml:space="preserve">October</w:t>
      </w:r>
      <w:r>
        <w:t xml:space="preserve"> </w:t>
      </w:r>
      <w:r>
        <w:t xml:space="preserve">2026</w:t>
      </w:r>
    </w:p>
    <w:bookmarkStart w:id="20" w:name="abstract"/>
    <w:p>
      <w:pPr>
        <w:pStyle w:val="Heading2"/>
      </w:pPr>
      <w:r>
        <w:t xml:space="preserve">Abstract</w:t>
      </w:r>
    </w:p>
    <w:p>
      <w:pPr>
        <w:pStyle w:val="FirstParagraph"/>
      </w:pPr>
      <w:r>
        <w:rPr>
          <w:bCs/>
          <w:b/>
        </w:rPr>
        <w:t xml:space="preserve">Abstract</w:t>
      </w:r>
      <w:r>
        <w:t xml:space="preserve"> </w:t>
      </w:r>
      <w:r>
        <w:t xml:space="preserve">— Gestational diabetes mellitus (GDM) and fetal macrosomia are linked pregnancy complications, but most screening happens late, at the 24–28-week oral glucose tolerance test (OGTT) and the third-trimester growth scan. This paper presents MDT-GEN, a maternal–fetal digital twin for early, evidence-based screening of both conditions.</w:t>
      </w:r>
    </w:p>
    <w:p>
      <w:pPr>
        <w:pStyle w:val="BodyText"/>
      </w:pPr>
      <w:r>
        <w:t xml:space="preserve">MDT-GEN has four parts:</w:t>
      </w:r>
    </w:p>
    <w:p>
      <w:pPr>
        <w:numPr>
          <w:ilvl w:val="0"/>
          <w:numId w:val="1001"/>
        </w:numPr>
        <w:pStyle w:val="Compact"/>
      </w:pPr>
      <w:r>
        <w:rPr>
          <w:bCs/>
          <w:b/>
        </w:rPr>
        <w:t xml:space="preserve">Booking-risk models.</w:t>
      </w:r>
      <w:r>
        <w:t xml:space="preserve"> </w:t>
      </w:r>
      <w:r>
        <w:t xml:space="preserve">A calibrated stacking ensemble (logistic regression, random forest, XGBoost and CatBoost, combined by a logistic meta-learner) predicts GDM and macrosomia from ten predictors available at the first antenatal visit. Diagnostic and delivery variables are excluded, so the outcome cannot leak into the inputs.</w:t>
      </w:r>
    </w:p>
    <w:p>
      <w:pPr>
        <w:numPr>
          <w:ilvl w:val="0"/>
          <w:numId w:val="1001"/>
        </w:numPr>
        <w:pStyle w:val="Compact"/>
      </w:pPr>
      <w:r>
        <w:rPr>
          <w:bCs/>
          <w:b/>
        </w:rPr>
        <w:t xml:space="preserve">Two-stage macrosomia pathway.</w:t>
      </w:r>
      <w:r>
        <w:t xml:space="preserve"> </w:t>
      </w:r>
      <w:r>
        <w:t xml:space="preserve">The booking risk is updated by a published ultrasound criterion: abdominal circumference (AC) ≥ 36 cm or estimated fetal weight (EFW) ≥ 4000 g.</w:t>
      </w:r>
    </w:p>
    <w:p>
      <w:pPr>
        <w:numPr>
          <w:ilvl w:val="0"/>
          <w:numId w:val="1001"/>
        </w:numPr>
        <w:pStyle w:val="Compact"/>
      </w:pPr>
      <w:r>
        <w:rPr>
          <w:bCs/>
          <w:b/>
        </w:rPr>
        <w:t xml:space="preserve">Ultrasound biometry.</w:t>
      </w:r>
      <w:r>
        <w:t xml:space="preserve"> </w:t>
      </w:r>
      <w:r>
        <w:t xml:space="preserve">An Attention U-Net trained on ACOUSLIC-AI blind sweeps measures AC by ellipse fitting and Ramanujan’s perimeter formula.</w:t>
      </w:r>
    </w:p>
    <w:p>
      <w:pPr>
        <w:numPr>
          <w:ilvl w:val="0"/>
          <w:numId w:val="1001"/>
        </w:numPr>
        <w:pStyle w:val="Compact"/>
      </w:pPr>
      <w:r>
        <w:rPr>
          <w:bCs/>
          <w:b/>
        </w:rPr>
        <w:t xml:space="preserve">Simulation and synthetic data.</w:t>
      </w:r>
      <w:r>
        <w:t xml:space="preserve"> </w:t>
      </w:r>
      <w:r>
        <w:t xml:space="preserve">A continuous-time Neural ODE simulates glucose, BMI and blood-pressure trajectories, and CTGAN generates synthetic cohorts.</w:t>
      </w:r>
    </w:p>
    <w:p>
      <w:pPr>
        <w:pStyle w:val="FirstParagraph"/>
      </w:pPr>
      <w:r>
        <w:t xml:space="preserve">On 4,698 held-out women from a cohort of 23,490, the GDM model reached an AUROC of 0.712 (95% CI 0.684–0.739) and a Brier score of 0.071, with a calibration slope of 0.96. Removing class weighting corrected the mean predicted risk from 43.9% to 7.9%, matching the observed rate of 7.9%. The macrosomia model (birthweight ≥ 4000 g) reached an AUROC of 0.640 (0.611–0.668) with good calibration. This confirms that booking data alone screens for macrosomia only modestly, which motivates the ultrasound stage.</w:t>
      </w:r>
    </w:p>
    <w:p>
      <w:pPr>
        <w:pStyle w:val="BodyText"/>
      </w:pPr>
      <w:r>
        <w:t xml:space="preserve">On held-out women with an OGTT, the Neural ODE’s glucose at the OGTT window explained less variance than predicting the cohort mean (R² = −2.20). The Neural ODE is therefore reported as illustrative only. AC agreement on held-out ACOUSLIC-AI cases is reported as mean absolute error, bias and Bland–Altman limits of agreement [results pending, Table VIII].</w:t>
      </w:r>
    </w:p>
    <w:p>
      <w:pPr>
        <w:pStyle w:val="BodyText"/>
      </w:pPr>
      <w:r>
        <w:t xml:space="preserve">MDT-GEN shows that a digital twin for antenatal screening can be built so that each output is either validated on held-out data or explicitly labelled as unvalidated.</w:t>
      </w:r>
    </w:p>
    <w:p>
      <w:pPr>
        <w:pStyle w:val="BodyText"/>
      </w:pPr>
      <w:r>
        <w:rPr>
          <w:bCs/>
          <w:b/>
        </w:rPr>
        <w:t xml:space="preserve">Index Terms</w:t>
      </w:r>
      <w:r>
        <w:t xml:space="preserve"> </w:t>
      </w:r>
      <w:r>
        <w:t xml:space="preserve">— Gestational diabetes mellitus, fetal macrosomia, digital twin, stacking ensemble, model calibration, Attention U-Net, abdominal circumference, Neural ODE, CTGAN, explainable AI.</w:t>
      </w:r>
    </w:p>
    <w:bookmarkEnd w:id="20"/>
    <w:bookmarkStart w:id="21" w:name="i.-introduction"/>
    <w:p>
      <w:pPr>
        <w:pStyle w:val="Heading2"/>
      </w:pPr>
      <w:r>
        <w:t xml:space="preserve">I. Introduction</w:t>
      </w:r>
    </w:p>
    <w:p>
      <w:pPr>
        <w:pStyle w:val="FirstParagraph"/>
      </w:pPr>
      <w:r>
        <w:t xml:space="preserve">Gestational diabetes mellitus (GDM) is hyperglycaemia first recognised in pregnancy. It is diagnosed with the 75 g oral glucose tolerance test (OGTT), using the thresholds set by the International Association of Diabetes and Pregnancy Study Groups (IADPSG) [1]. The Hyperglycemia and Adverse Pregnancy Outcome (HAPO) study showed that adverse outcomes rise continuously with maternal glucose, including birthweight above the 90th centile [2]. Fetal macrosomia, commonly defined as birthweight ≥ 4000 g, raises the risk of shoulder dystocia, caesarean delivery and neonatal hypoglycaemia [3].</w:t>
      </w:r>
    </w:p>
    <w:p>
      <w:pPr>
        <w:pStyle w:val="BodyText"/>
      </w:pPr>
      <w:r>
        <w:t xml:space="preserve">Both conditions are usually detected late. The OGTT is offered at 24–28 weeks, and suspected overgrowth is confirmed by third-trimester ultrasound biometry [13]. A risk estimate available at the first antenatal (booking) visit, around 12 weeks, could target earlier testing, lifestyle advice and growth surveillance at the women most likely to benefit.</w:t>
      </w:r>
    </w:p>
    <w:p>
      <w:pPr>
        <w:pStyle w:val="BodyText"/>
      </w:pPr>
      <w:r>
        <w:t xml:space="preserve">Machine learning (ML) models for early GDM and macrosomia prediction are increasingly reported [4], [6], [7]. However, a recent systematic review found that few GDM models are externally validated, and that calibration is often poorly reported [5].</w:t>
      </w:r>
    </w:p>
    <w:p>
      <w:pPr>
        <w:pStyle w:val="BodyText"/>
      </w:pPr>
      <w:r>
        <w:t xml:space="preserve">Three problems are common in this literature:</w:t>
      </w:r>
    </w:p>
    <w:p>
      <w:pPr>
        <w:numPr>
          <w:ilvl w:val="0"/>
          <w:numId w:val="1002"/>
        </w:numPr>
        <w:pStyle w:val="Compact"/>
      </w:pPr>
      <w:r>
        <w:rPr>
          <w:bCs/>
          <w:b/>
        </w:rPr>
        <w:t xml:space="preserve">Target leakage.</w:t>
      </w:r>
      <w:r>
        <w:t xml:space="preserve"> </w:t>
      </w:r>
      <w:r>
        <w:t xml:space="preserve">Models that include OGTT glucose report near-perfect accuracy because the predictor is the diagnostic test itself.</w:t>
      </w:r>
    </w:p>
    <w:p>
      <w:pPr>
        <w:numPr>
          <w:ilvl w:val="0"/>
          <w:numId w:val="1002"/>
        </w:numPr>
        <w:pStyle w:val="Compact"/>
      </w:pPr>
      <w:r>
        <w:rPr>
          <w:bCs/>
          <w:b/>
        </w:rPr>
        <w:t xml:space="preserve">Uncalibrated probabilities.</w:t>
      </w:r>
      <w:r>
        <w:t xml:space="preserve"> </w:t>
      </w:r>
      <w:r>
        <w:t xml:space="preserve">Re-weighting the rare class improves recall but inflates every predicted risk, so a displayed</w:t>
      </w:r>
      <w:r>
        <w:t xml:space="preserve"> </w:t>
      </w:r>
      <w:r>
        <w:t xml:space="preserve">“</w:t>
      </w:r>
      <w:r>
        <w:t xml:space="preserve">40% risk</w:t>
      </w:r>
      <w:r>
        <w:t xml:space="preserve">”</w:t>
      </w:r>
      <w:r>
        <w:t xml:space="preserve"> </w:t>
      </w:r>
      <w:r>
        <w:t xml:space="preserve">does not mean 40%.</w:t>
      </w:r>
    </w:p>
    <w:p>
      <w:pPr>
        <w:numPr>
          <w:ilvl w:val="0"/>
          <w:numId w:val="1002"/>
        </w:numPr>
        <w:pStyle w:val="Compact"/>
      </w:pPr>
      <w:r>
        <w:rPr>
          <w:bCs/>
          <w:b/>
        </w:rPr>
        <w:t xml:space="preserve">Unvalidated fusion.</w:t>
      </w:r>
      <w:r>
        <w:t xml:space="preserve"> </w:t>
      </w:r>
      <w:r>
        <w:t xml:space="preserve">Maternal records and ultrasound images usually come from different cohorts, so a combined score cannot be validated.</w:t>
      </w:r>
    </w:p>
    <w:p>
      <w:pPr>
        <w:pStyle w:val="FirstParagraph"/>
      </w:pPr>
      <w:r>
        <w:t xml:space="preserve">Digital twins offer a natural frame for antenatal care. A patient-specific model starts from booking data and is updated as new measurements arrive [8], [9]. Continuous-time neural ordinary differential equations (Neural ODEs) [10] can represent physiological trajectories between visits. Generative models such as CTGAN [24] can produce synthetic cohorts for sharing. These components still need to be judged against data that can actually validate them.</w:t>
      </w:r>
    </w:p>
    <w:p>
      <w:pPr>
        <w:pStyle w:val="BodyText"/>
      </w:pPr>
      <w:r>
        <w:t xml:space="preserve">This paper presents MDT-GEN, a multimodal maternal–fetal digital twin built around the principle that every displayed output is either validated on held-out data or explicitly labelled as unvalidated. The contributions are:</w:t>
      </w:r>
    </w:p>
    <w:p>
      <w:pPr>
        <w:numPr>
          <w:ilvl w:val="0"/>
          <w:numId w:val="1003"/>
        </w:numPr>
        <w:pStyle w:val="Compact"/>
      </w:pPr>
      <w:r>
        <w:t xml:space="preserve">Leakage-safe, calibrated booking-visit models for GDM and macrosomia. Both use ten predictors available at about 12 weeks, are trained without class re-weighting, and are evaluated on 4,698 held-out women with bootstrap confidence intervals, calibration slope and intercept, and decision-curve analysis.</w:t>
      </w:r>
    </w:p>
    <w:p>
      <w:pPr>
        <w:numPr>
          <w:ilvl w:val="0"/>
          <w:numId w:val="1003"/>
        </w:numPr>
        <w:pStyle w:val="Compact"/>
      </w:pPr>
      <w:r>
        <w:t xml:space="preserve">A two-stage macrosomia pathway. The calibrated booking probability is the pre-test risk. It is updated by a published third-trimester ultrasound criterion (AC ≥ 36 cm or Hadlock EFW ≥ 4000 g) using that criterion’s pooled likelihood ratios [27].</w:t>
      </w:r>
    </w:p>
    <w:p>
      <w:pPr>
        <w:numPr>
          <w:ilvl w:val="0"/>
          <w:numId w:val="1003"/>
        </w:numPr>
        <w:pStyle w:val="Compact"/>
      </w:pPr>
      <w:r>
        <w:t xml:space="preserve">An automated abdominal circumference (AC) measurement pipeline for ACOUSLIC-AI blind-sweep ultrasound [18], [19], with a reproducible held-out agreement protocol: mean absolute error, bias and Bland–Altman limits of agreement.</w:t>
      </w:r>
    </w:p>
    <w:p>
      <w:pPr>
        <w:numPr>
          <w:ilvl w:val="0"/>
          <w:numId w:val="1003"/>
        </w:numPr>
        <w:pStyle w:val="Compact"/>
      </w:pPr>
      <w:r>
        <w:t xml:space="preserve">A held-out audit of the Neural ODE trajectory component. The audit shows that, with one glucose value per woman, the simulated glucose dynamics cannot be validated, so the trajectories are presented as illustrative.</w:t>
      </w:r>
    </w:p>
    <w:p>
      <w:pPr>
        <w:pStyle w:val="FirstParagraph"/>
      </w:pPr>
      <w:r>
        <w:t xml:space="preserve">Section II reviews related work. Section III describes the method, and Section IV the datasets. Section V reports results, Section VI the ablations, and Section VII the discussion. Section VIII concludes.</w:t>
      </w:r>
    </w:p>
    <w:bookmarkEnd w:id="21"/>
    <w:bookmarkStart w:id="28" w:name="ii.-related-works"/>
    <w:p>
      <w:pPr>
        <w:pStyle w:val="Heading2"/>
      </w:pPr>
      <w:r>
        <w:t xml:space="preserve">II. Related Works</w:t>
      </w:r>
    </w:p>
    <w:bookmarkStart w:id="22" w:name="a.-gdm-diagnosis-and-early-prediction"/>
    <w:p>
      <w:pPr>
        <w:pStyle w:val="Heading3"/>
      </w:pPr>
      <w:r>
        <w:t xml:space="preserve">A. GDM Diagnosis and Early Prediction</w:t>
      </w:r>
    </w:p>
    <w:p>
      <w:pPr>
        <w:pStyle w:val="FirstParagraph"/>
      </w:pPr>
      <w:r>
        <w:t xml:space="preserve">The IADPSG consensus defined OGTT glucose thresholds for GDM [1], building on the HAPO evidence of a continuous glucose–outcome relationship [2]. Current guidance offers testing at 24–28 weeks [3], [40].</w:t>
      </w:r>
    </w:p>
    <w:p>
      <w:pPr>
        <w:pStyle w:val="BodyText"/>
      </w:pPr>
      <w:r>
        <w:t xml:space="preserve">Recent ML studies predict GDM before the OGTT from maternal characteristics and early laboratory values. Zaky et al. [4], for example, reported ML models for early GDM detection. Seifu et al. [5] pooled externally validated GDM models and found moderate discrimination, frequent miscalibration and incomplete reporting. MDT-GEN addresses these points directly: it excludes diagnostic glucose, reports calibration, and fixes decision thresholds before testing.</w:t>
      </w:r>
    </w:p>
    <w:bookmarkEnd w:id="22"/>
    <w:bookmarkStart w:id="23" w:name="X2692f396824556a7d49ebcb6afc0fb3361e7bef"/>
    <w:p>
      <w:pPr>
        <w:pStyle w:val="Heading3"/>
      </w:pPr>
      <w:r>
        <w:t xml:space="preserve">B. Macrosomia Prediction and Ultrasound Biometry</w:t>
      </w:r>
    </w:p>
    <w:p>
      <w:pPr>
        <w:pStyle w:val="FirstParagraph"/>
      </w:pPr>
      <w:r>
        <w:t xml:space="preserve">ML models for macrosomia have been developed at different stages of pregnancy. Liu et al. [6] showed that accuracy improves as later-pregnancy data become available. Wang et al. [7] built an explainable model for a Han Chinese cohort.</w:t>
      </w:r>
    </w:p>
    <w:p>
      <w:pPr>
        <w:pStyle w:val="BodyText"/>
      </w:pPr>
      <w:r>
        <w:t xml:space="preserve">In clinical practice, macrosomia is suspected from third-trimester ultrasound. In a systematic review of 63 accuracy studies, Coomarasamy et al. [27] found that AC ≥ 36 cm and EFW ≥ 4000 g had similar accuracy for predicting birthweight &gt; 4000 g, with summary ROC areas of 0.85 and 0.87. Positive results were better at ruling macrosomia in than negative results were at ruling it out.</w:t>
      </w:r>
    </w:p>
    <w:p>
      <w:pPr>
        <w:pStyle w:val="BodyText"/>
      </w:pPr>
      <w:r>
        <w:t xml:space="preserve">EFW formulas include the AC-only Hadlock [16] and Campbell–Wilkin [17] equations and the four-parameter Hadlock model [38]. Fetal growth standards are given by INTERGROWTH-21st [11], [12] and ISUOG guidance [13]. Choi et al. [14] proposed simple median formulae for fetal biometry, including median AC (cm) ≈ GA (weeks) − 5. Interobserver AC variability is about ±8.8% [15], which sets a practical benchmark for automated measurement.</w:t>
      </w:r>
    </w:p>
    <w:bookmarkEnd w:id="23"/>
    <w:bookmarkStart w:id="24" w:name="X2168143ed45f152ee91ae26d6cfe7ac3907ff26"/>
    <w:p>
      <w:pPr>
        <w:pStyle w:val="Heading3"/>
      </w:pPr>
      <w:r>
        <w:t xml:space="preserve">C. Automated Abdominal Circumference Measurement</w:t>
      </w:r>
    </w:p>
    <w:p>
      <w:pPr>
        <w:pStyle w:val="FirstParagraph"/>
      </w:pPr>
      <w:r>
        <w:t xml:space="preserve">U-Net [21] and Attention U-Net [22] are standard architectures for medical image segmentation. Jang et al. [20] estimated AC automatically from standard-plane images. The ACOUSLIC-AI challenge [18], [19] moved the task to blind, operator-agnostic sweeps from low-resource settings. Each case has six sweeps of 140 frames at 0.28 mm/pixel, plus expert reference AC per sweep. Ellipse perimeters are usually computed with Ramanujan’s approximation [23].</w:t>
      </w:r>
    </w:p>
    <w:bookmarkEnd w:id="24"/>
    <w:bookmarkStart w:id="25" w:name="Xd17ba4b9876dfd89999381bfaae6687f96ae832"/>
    <w:p>
      <w:pPr>
        <w:pStyle w:val="Heading3"/>
      </w:pPr>
      <w:r>
        <w:t xml:space="preserve">D. Digital Twins and Continuous-Time Models</w:t>
      </w:r>
    </w:p>
    <w:p>
      <w:pPr>
        <w:pStyle w:val="FirstParagraph"/>
      </w:pPr>
      <w:r>
        <w:t xml:space="preserve">Digital twins in medicine are patient-specific computational models updated with new data [8]. A scoping review found that most health digital twins remain at the prototype stage, and that their validation is often limited [9]. Neural ODEs [10] model latent dynamics in continuous time and naturally handle irregular visits, but learning their dynamics requires repeated measurements.</w:t>
      </w:r>
    </w:p>
    <w:bookmarkEnd w:id="25"/>
    <w:bookmarkStart w:id="26" w:name="e.-synthetic-data-and-privacy"/>
    <w:p>
      <w:pPr>
        <w:pStyle w:val="Heading3"/>
      </w:pPr>
      <w:r>
        <w:t xml:space="preserve">E. Synthetic Data and Privacy</w:t>
      </w:r>
    </w:p>
    <w:p>
      <w:pPr>
        <w:pStyle w:val="FirstParagraph"/>
      </w:pPr>
      <w:r>
        <w:t xml:space="preserve">CTGAN [24] models mixed-type tabular data with conditional generation and mode-specific normalisation. Synthetic records can still leak membership information [25]. Distance-to-closest-record (DCR) measures should therefore be paired with attack-based assessments [26].</w:t>
      </w:r>
    </w:p>
    <w:bookmarkEnd w:id="26"/>
    <w:bookmarkStart w:id="27" w:name="f.-reporting-and-evaluation-standards"/>
    <w:p>
      <w:pPr>
        <w:pStyle w:val="Heading3"/>
      </w:pPr>
      <w:r>
        <w:t xml:space="preserve">F. Reporting and Evaluation Standards</w:t>
      </w:r>
    </w:p>
    <w:p>
      <w:pPr>
        <w:pStyle w:val="FirstParagraph"/>
      </w:pPr>
      <w:r>
        <w:t xml:space="preserve">TRIPOD+AI [33] and PROBAST+AI [34] set expectations for reporting prediction models and assessing their risk of bias. Calibration has been called the Achilles heel of predictive analytics [35]. Decision-curve analysis [36] and the Brier score [37] complement discrimination metrics. The base learners used here are random forest [28], XGBoost [29], CatBoost [30] and stacked generalisation [31], with explanations from SHAP [32].</w:t>
      </w:r>
    </w:p>
    <w:bookmarkEnd w:id="27"/>
    <w:bookmarkEnd w:id="28"/>
    <w:bookmarkStart w:id="40" w:name="iii.-proposed-approach"/>
    <w:p>
      <w:pPr>
        <w:pStyle w:val="Heading2"/>
      </w:pPr>
      <w:r>
        <w:t xml:space="preserve">III. Proposed Approach</w:t>
      </w:r>
    </w:p>
    <w:bookmarkStart w:id="32" w:name="a.-model-overview"/>
    <w:p>
      <w:pPr>
        <w:pStyle w:val="Heading3"/>
      </w:pPr>
      <w:r>
        <w:t xml:space="preserve">A. Model Overview</w:t>
      </w:r>
    </w:p>
    <w:p>
      <w:pPr>
        <w:pStyle w:val="FirstParagraph"/>
      </w:pPr>
      <w:r>
        <w:t xml:space="preserve">MDT-GEN has five components. Fig. 1 shows how they connect.</w:t>
      </w:r>
    </w:p>
    <w:p>
      <w:pPr>
        <w:numPr>
          <w:ilvl w:val="0"/>
          <w:numId w:val="1004"/>
        </w:numPr>
        <w:pStyle w:val="Compact"/>
      </w:pPr>
      <w:r>
        <w:rPr>
          <w:bCs/>
          <w:b/>
        </w:rPr>
        <w:t xml:space="preserve">Booking-risk module.</w:t>
      </w:r>
      <w:r>
        <w:t xml:space="preserve"> </w:t>
      </w:r>
      <w:r>
        <w:t xml:space="preserve">Calibrated stacking ensembles for GDM and macrosomia, using ten booking predictors.</w:t>
      </w:r>
    </w:p>
    <w:p>
      <w:pPr>
        <w:numPr>
          <w:ilvl w:val="0"/>
          <w:numId w:val="1004"/>
        </w:numPr>
        <w:pStyle w:val="Compact"/>
      </w:pPr>
      <w:r>
        <w:rPr>
          <w:bCs/>
          <w:b/>
        </w:rPr>
        <w:t xml:space="preserve">Two-stage macrosomia pathway.</w:t>
      </w:r>
      <w:r>
        <w:t xml:space="preserve"> </w:t>
      </w:r>
      <w:r>
        <w:t xml:space="preserve">A Bayesian update of the booking risk using a published ultrasound criterion.</w:t>
      </w:r>
    </w:p>
    <w:p>
      <w:pPr>
        <w:numPr>
          <w:ilvl w:val="0"/>
          <w:numId w:val="1004"/>
        </w:numPr>
        <w:pStyle w:val="Compact"/>
      </w:pPr>
      <w:r>
        <w:rPr>
          <w:bCs/>
          <w:b/>
        </w:rPr>
        <w:t xml:space="preserve">Fetal biometry module.</w:t>
      </w:r>
      <w:r>
        <w:t xml:space="preserve"> </w:t>
      </w:r>
      <w:r>
        <w:t xml:space="preserve">Attention U-Net segmentation of ACOUSLIC-AI sweeps, ellipse fitting and AC in millimetres.</w:t>
      </w:r>
    </w:p>
    <w:p>
      <w:pPr>
        <w:numPr>
          <w:ilvl w:val="0"/>
          <w:numId w:val="1004"/>
        </w:numPr>
        <w:pStyle w:val="Compact"/>
      </w:pPr>
      <w:r>
        <w:rPr>
          <w:bCs/>
          <w:b/>
        </w:rPr>
        <w:t xml:space="preserve">Trajectory module.</w:t>
      </w:r>
      <w:r>
        <w:t xml:space="preserve"> </w:t>
      </w:r>
      <w:r>
        <w:t xml:space="preserve">A patient-conditioned Neural ODE that simulates fasting glucose, BMI and systolic blood pressure from week 12 to week 40.</w:t>
      </w:r>
    </w:p>
    <w:p>
      <w:pPr>
        <w:numPr>
          <w:ilvl w:val="0"/>
          <w:numId w:val="1004"/>
        </w:numPr>
        <w:pStyle w:val="Compact"/>
      </w:pPr>
      <w:r>
        <w:rPr>
          <w:bCs/>
          <w:b/>
        </w:rPr>
        <w:t xml:space="preserve">Synthetic-cohort module.</w:t>
      </w:r>
      <w:r>
        <w:t xml:space="preserve"> </w:t>
      </w:r>
      <w:r>
        <w:t xml:space="preserve">CTGAN trained on the booking predictors, with a fidelity, utility and privacy audit.</w:t>
      </w:r>
    </w:p>
    <w:p>
      <w:pPr>
        <w:pStyle w:val="FirstParagraph"/>
      </w:pPr>
      <w:r>
        <w:t xml:space="preserve">The twin state is a late-fusion record. It holds the booking predictors, the validated risks and the latest fetal biometry. Because the maternal and ultrasound datasets are not linked, no learned fusion score is computed.</w:t>
      </w:r>
    </w:p>
    <w:p>
      <w:pPr>
        <w:pStyle w:val="CaptionedFigure"/>
      </w:pPr>
      <w:r>
        <w:drawing>
          <wp:inline>
            <wp:extent cx="5760720" cy="4269105"/>
            <wp:effectExtent b="0" l="0" r="0" t="0"/>
            <wp:docPr descr="Fig. 1. MDT-GEN architecture · validated paths (solid) and exploratory or illustrative parts (dashed)" title="" id="30" name="Picture"/>
            <a:graphic>
              <a:graphicData uri="http://schemas.openxmlformats.org/drawingml/2006/picture">
                <pic:pic>
                  <pic:nvPicPr>
                    <pic:cNvPr descr="fig1.png" id="31" name="Picture"/>
                    <pic:cNvPicPr>
                      <a:picLocks noChangeArrowheads="1" noChangeAspect="1"/>
                    </pic:cNvPicPr>
                  </pic:nvPicPr>
                  <pic:blipFill>
                    <a:blip r:embed="rId29"/>
                    <a:stretch>
                      <a:fillRect/>
                    </a:stretch>
                  </pic:blipFill>
                  <pic:spPr bwMode="auto">
                    <a:xfrm>
                      <a:off x="0" y="0"/>
                      <a:ext cx="5760720" cy="4269105"/>
                    </a:xfrm>
                    <a:prstGeom prst="rect">
                      <a:avLst/>
                    </a:prstGeom>
                    <a:noFill/>
                    <a:ln w="9525">
                      <a:noFill/>
                      <a:headEnd/>
                      <a:tailEnd/>
                    </a:ln>
                  </pic:spPr>
                </pic:pic>
              </a:graphicData>
            </a:graphic>
          </wp:inline>
        </w:drawing>
      </w:r>
    </w:p>
    <w:p>
      <w:pPr>
        <w:pStyle w:val="ImageCaption"/>
      </w:pPr>
      <w:r>
        <w:t xml:space="preserve">Fig. 1. MDT-GEN architecture · validated paths (solid) and exploratory or illustrative parts (dashed)</w:t>
      </w:r>
    </w:p>
    <w:p>
      <w:pPr>
        <w:pStyle w:val="BodyText"/>
      </w:pPr>
      <w:r>
        <w:t xml:space="preserve">The booking record feeds both risk models. A late scan contributes only through a published criterion. The Neural ODE and CTGAN are displayed but never enter a risk estimate.</w:t>
      </w:r>
    </w:p>
    <w:bookmarkEnd w:id="32"/>
    <w:bookmarkStart w:id="33" w:name="X6c85932df2fbc57d97767706f315050797df8df"/>
    <w:p>
      <w:pPr>
        <w:pStyle w:val="Heading3"/>
      </w:pPr>
      <w:r>
        <w:t xml:space="preserve">B. Feature Representation and Leakage Guards</w:t>
      </w:r>
    </w:p>
    <w:p>
      <w:pPr>
        <w:pStyle w:val="FirstParagraph"/>
      </w:pPr>
      <w:r>
        <w:t xml:space="preserve">Let the cohort be</w:t>
      </w:r>
    </w:p>
    <w:p>
      <w:pPr>
        <w:pStyle w:val="BodyText"/>
      </w:pPr>
      <m:oMathPara>
        <m:oMathParaPr>
          <m:jc m:val="center"/>
        </m:oMathParaPr>
        <m:oMath>
          <m:r>
            <m:rPr>
              <m:sty m:val="p"/>
              <m:scr m:val="script"/>
            </m:rPr>
            <m:t>D</m:t>
          </m:r>
          <m:r>
            <m:rPr>
              <m:sty m:val="p"/>
            </m:rPr>
            <m:t>=</m:t>
          </m:r>
          <m:r>
            <m:rPr>
              <m:sty m:val="p"/>
            </m:rPr>
            <m:t>{</m:t>
          </m:r>
          <m:d>
            <m:dPr>
              <m:begChr m:val="("/>
              <m:endChr m:val=")"/>
              <m:sepChr m:val=""/>
              <m:grow/>
            </m:dPr>
            <m:e>
              <m:sSub>
                <m:e>
                  <m:r>
                    <m:rPr>
                      <m:sty m:val="b"/>
                    </m:rPr>
                    <m:t>x</m:t>
                  </m:r>
                </m:e>
                <m:sub>
                  <m:r>
                    <m:t>n</m:t>
                  </m:r>
                </m:sub>
              </m:sSub>
              <m:r>
                <m:rPr>
                  <m:sty m:val="p"/>
                </m:rPr>
                <m:t>,</m:t>
              </m:r>
              <m:sSub>
                <m:e>
                  <m:r>
                    <m:t>y</m:t>
                  </m:r>
                </m:e>
                <m:sub>
                  <m:r>
                    <m:t>n</m:t>
                  </m:r>
                </m:sub>
              </m:sSub>
            </m:e>
          </m:d>
          <m:sSubSup>
            <m:e>
              <m:r>
                <m:rPr>
                  <m:sty m:val="p"/>
                </m:rPr>
                <m:t>}</m:t>
              </m:r>
            </m:e>
            <m:sub>
              <m:r>
                <m:t>n</m:t>
              </m:r>
              <m:r>
                <m:rPr>
                  <m:sty m:val="p"/>
                </m:rPr>
                <m:t>=</m:t>
              </m:r>
              <m:r>
                <m:t>1</m:t>
              </m:r>
            </m:sub>
            <m:sup>
              <m:r>
                <m:t>N</m:t>
              </m:r>
            </m:sup>
          </m:sSubSup>
          <m:r>
            <m:rPr>
              <m:sty m:val="p"/>
            </m:rPr>
            <m:t>,</m:t>
          </m:r>
          <m:r>
            <m:t>  </m:t>
          </m:r>
          <m:sSub>
            <m:e>
              <m:r>
                <m:rPr>
                  <m:sty m:val="b"/>
                </m:rPr>
                <m:t>x</m:t>
              </m:r>
            </m:e>
            <m:sub>
              <m:r>
                <m:t>n</m:t>
              </m:r>
            </m:sub>
          </m:sSub>
          <m:r>
            <m:rPr>
              <m:sty m:val="p"/>
            </m:rPr>
            <m:t>∈</m:t>
          </m:r>
          <m:sSup>
            <m:e>
              <m:r>
                <m:rPr>
                  <m:sty m:val="p"/>
                  <m:scr m:val="double-struck"/>
                </m:rPr>
                <m:t>R</m:t>
              </m:r>
            </m:e>
            <m:sup>
              <m:r>
                <m:t>9</m:t>
              </m:r>
            </m:sup>
          </m:sSup>
          <m:r>
            <m:rPr>
              <m:sty m:val="p"/>
            </m:rPr>
            <m:t>×</m:t>
          </m:r>
          <m:r>
            <m:rPr>
              <m:sty m:val="p"/>
              <m:scr m:val="script"/>
            </m:rPr>
            <m:t>E</m:t>
          </m:r>
        </m:oMath>
      </m:oMathPara>
    </w:p>
    <w:p>
      <w:pPr>
        <w:pStyle w:val="FirstParagraph"/>
      </w:pPr>
      <w:r>
        <w:t xml:space="preserve">where 𝓔 is the set of ethnicity categories and yₙ ∈ {0, 1} is the outcome. For GDM, y = 1 if GDM was diagnosed. For macrosomia, y = 1 if birthweight was ≥ 4000 g.</w:t>
      </w:r>
    </w:p>
    <w:p>
      <w:pPr>
        <w:pStyle w:val="BodyText"/>
      </w:pPr>
      <w:r>
        <w:t xml:space="preserve">The ten predictors are all available at booking:</w:t>
      </w:r>
    </w:p>
    <w:p>
      <w:pPr>
        <w:numPr>
          <w:ilvl w:val="0"/>
          <w:numId w:val="1005"/>
        </w:numPr>
        <w:pStyle w:val="Compact"/>
      </w:pPr>
      <w:r>
        <w:t xml:space="preserve">maternal age</w:t>
      </w:r>
    </w:p>
    <w:p>
      <w:pPr>
        <w:numPr>
          <w:ilvl w:val="0"/>
          <w:numId w:val="1005"/>
        </w:numPr>
        <w:pStyle w:val="Compact"/>
      </w:pPr>
      <w:r>
        <w:t xml:space="preserve">gestational age at booking</w:t>
      </w:r>
    </w:p>
    <w:p>
      <w:pPr>
        <w:numPr>
          <w:ilvl w:val="0"/>
          <w:numId w:val="1005"/>
        </w:numPr>
        <w:pStyle w:val="Compact"/>
      </w:pPr>
      <w:r>
        <w:t xml:space="preserve">booking BMI</w:t>
      </w:r>
    </w:p>
    <w:p>
      <w:pPr>
        <w:numPr>
          <w:ilvl w:val="0"/>
          <w:numId w:val="1005"/>
        </w:numPr>
        <w:pStyle w:val="Compact"/>
      </w:pPr>
      <w:r>
        <w:t xml:space="preserve">gravidity</w:t>
      </w:r>
    </w:p>
    <w:p>
      <w:pPr>
        <w:numPr>
          <w:ilvl w:val="0"/>
          <w:numId w:val="1005"/>
        </w:numPr>
        <w:pStyle w:val="Compact"/>
      </w:pPr>
      <w:r>
        <w:t xml:space="preserve">parity</w:t>
      </w:r>
    </w:p>
    <w:p>
      <w:pPr>
        <w:numPr>
          <w:ilvl w:val="0"/>
          <w:numId w:val="1005"/>
        </w:numPr>
        <w:pStyle w:val="Compact"/>
      </w:pPr>
      <w:r>
        <w:t xml:space="preserve">number of previous caesarean sections</w:t>
      </w:r>
    </w:p>
    <w:p>
      <w:pPr>
        <w:numPr>
          <w:ilvl w:val="0"/>
          <w:numId w:val="1005"/>
        </w:numPr>
        <w:pStyle w:val="Compact"/>
      </w:pPr>
      <w:r>
        <w:t xml:space="preserve">Index of Multiple Deprivation (IMD) rank</w:t>
      </w:r>
    </w:p>
    <w:p>
      <w:pPr>
        <w:numPr>
          <w:ilvl w:val="0"/>
          <w:numId w:val="1005"/>
        </w:numPr>
        <w:pStyle w:val="Compact"/>
      </w:pPr>
      <w:r>
        <w:t xml:space="preserve">systolic blood pressure</w:t>
      </w:r>
    </w:p>
    <w:p>
      <w:pPr>
        <w:numPr>
          <w:ilvl w:val="0"/>
          <w:numId w:val="1005"/>
        </w:numPr>
        <w:pStyle w:val="Compact"/>
      </w:pPr>
      <w:r>
        <w:t xml:space="preserve">diastolic blood pressure</w:t>
      </w:r>
    </w:p>
    <w:p>
      <w:pPr>
        <w:numPr>
          <w:ilvl w:val="0"/>
          <w:numId w:val="1005"/>
        </w:numPr>
        <w:pStyle w:val="Compact"/>
      </w:pPr>
      <w:r>
        <w:t xml:space="preserve">ethnicity</w:t>
      </w:r>
    </w:p>
    <w:p>
      <w:pPr>
        <w:pStyle w:val="FirstParagraph"/>
      </w:pPr>
      <w:r>
        <w:t xml:space="preserve">Three groups of variables are excluded by an explicit guard in the code: OGTT glucose, the GDM diagnosis (when macrosomia is the outcome), and all delivery or neonatal variables.</w:t>
      </w:r>
    </w:p>
    <w:p>
      <w:pPr>
        <w:pStyle w:val="BodyText"/>
      </w:pPr>
      <w:r>
        <w:t xml:space="preserve">Implausible values are set to missing before training:</w:t>
      </w:r>
    </w:p>
    <w:p>
      <w:pPr>
        <w:numPr>
          <w:ilvl w:val="0"/>
          <w:numId w:val="1006"/>
        </w:numPr>
        <w:pStyle w:val="Compact"/>
      </w:pPr>
      <w:r>
        <w:t xml:space="preserve">booking gestational age outside 4–42 weeks</w:t>
      </w:r>
    </w:p>
    <w:p>
      <w:pPr>
        <w:numPr>
          <w:ilvl w:val="0"/>
          <w:numId w:val="1006"/>
        </w:numPr>
        <w:pStyle w:val="Compact"/>
      </w:pPr>
      <w:r>
        <w:t xml:space="preserve">gravidity &gt; 20</w:t>
      </w:r>
    </w:p>
    <w:p>
      <w:pPr>
        <w:numPr>
          <w:ilvl w:val="0"/>
          <w:numId w:val="1006"/>
        </w:numPr>
        <w:pStyle w:val="Compact"/>
      </w:pPr>
      <w:r>
        <w:t xml:space="preserve">systolic blood pressure outside 70–250 mmHg</w:t>
      </w:r>
    </w:p>
    <w:p>
      <w:pPr>
        <w:numPr>
          <w:ilvl w:val="0"/>
          <w:numId w:val="1006"/>
        </w:numPr>
        <w:pStyle w:val="Compact"/>
      </w:pPr>
      <w:r>
        <w:t xml:space="preserve">diastolic blood pressure outside 30–150 mmHg</w:t>
      </w:r>
    </w:p>
    <w:p>
      <w:pPr>
        <w:pStyle w:val="FirstParagraph"/>
      </w:pPr>
      <w:r>
        <w:t xml:space="preserve">Blood pressure was unrecorded for about 60% of women, so a missingness indicator is added for each blood-pressure variable. Within each training fold, numeric features are median-imputed and standardised, and ethnicity is one-hot encoded.</w:t>
      </w:r>
    </w:p>
    <w:bookmarkEnd w:id="33"/>
    <w:bookmarkStart w:id="34" w:name="c.-calibrated-stacking-ensemble"/>
    <w:p>
      <w:pPr>
        <w:pStyle w:val="Heading3"/>
      </w:pPr>
      <w:r>
        <w:t xml:space="preserve">C. Calibrated Stacking Ensemble</w:t>
      </w:r>
    </w:p>
    <w:p>
      <w:pPr>
        <w:pStyle w:val="FirstParagraph"/>
      </w:pPr>
      <w:r>
        <w:t xml:space="preserve">Four base learners are trained: logistic regression, random forest [28], XGBoost [29] and CatBoost [30]. On the training set, 5-fold stratified cross-validation produces out-of-fold (OOF) probabilities p̂ⱼ(x) for base learner j = 1,…,4. A logistic meta-learner combines them [31]:</w:t>
      </w:r>
    </w:p>
    <w:p>
      <w:pPr>
        <w:pStyle w:val="BodyText"/>
      </w:pPr>
      <m:oMathPara>
        <m:oMathParaPr>
          <m:jc m:val="center"/>
        </m:oMathParaPr>
        <m:oMath>
          <m:acc>
            <m:accPr>
              <m:chr m:val="̂"/>
            </m:accPr>
            <m:e>
              <m:r>
                <m:t>p</m:t>
              </m:r>
            </m:e>
          </m:acc>
          <m:d>
            <m:dPr>
              <m:begChr m:val="("/>
              <m:endChr m:val=")"/>
              <m:sepChr m:val=""/>
              <m:grow/>
            </m:dPr>
            <m:e>
              <m:r>
                <m:rPr>
                  <m:sty m:val="b"/>
                </m:rPr>
                <m:t>x</m:t>
              </m:r>
            </m:e>
          </m:d>
          <m:r>
            <m:rPr>
              <m:sty m:val="p"/>
            </m:rPr>
            <m:t>=</m:t>
          </m:r>
          <m:r>
            <m:t>σ</m:t>
          </m:r>
          <m:d>
            <m:dPr>
              <m:begChr m:val="("/>
              <m:endChr m:val=")"/>
              <m:sepChr m:val=""/>
              <m:grow/>
            </m:dPr>
            <m:e>
              <m:sSub>
                <m:e>
                  <m:r>
                    <m:t>β</m:t>
                  </m:r>
                </m:e>
                <m:sub>
                  <m:r>
                    <m:t>0</m:t>
                  </m:r>
                </m:sub>
              </m:sSub>
              <m:r>
                <m:rPr>
                  <m:sty m:val="p"/>
                </m:rPr>
                <m:t>+</m:t>
              </m:r>
              <m:nary>
                <m:naryPr>
                  <m:chr m:val="∑"/>
                  <m:limLoc m:val="undOvr"/>
                  <m:subHide m:val="off"/>
                  <m:supHide m:val="off"/>
                </m:naryPr>
                <m:sub>
                  <m:r>
                    <m:t>j</m:t>
                  </m:r>
                  <m:r>
                    <m:rPr>
                      <m:sty m:val="p"/>
                    </m:rPr>
                    <m:t>=</m:t>
                  </m:r>
                  <m:r>
                    <m:t>1</m:t>
                  </m:r>
                </m:sub>
                <m:sup>
                  <m:r>
                    <m:t>4</m:t>
                  </m:r>
                </m:sup>
                <m:e>
                  <m:sSub>
                    <m:e>
                      <m:r>
                        <m:t>β</m:t>
                      </m:r>
                    </m:e>
                    <m:sub>
                      <m:r>
                        <m:t>j</m:t>
                      </m:r>
                    </m:sub>
                  </m:sSub>
                </m:e>
              </m:nary>
              <m:r>
                <m:t> </m:t>
              </m:r>
              <m:sSub>
                <m:e>
                  <m:acc>
                    <m:accPr>
                      <m:chr m:val="̂"/>
                    </m:accPr>
                    <m:e>
                      <m:r>
                        <m:t>p</m:t>
                      </m:r>
                    </m:e>
                  </m:acc>
                </m:e>
                <m:sub>
                  <m:r>
                    <m:t>j</m:t>
                  </m:r>
                </m:sub>
              </m:sSub>
              <m:d>
                <m:dPr>
                  <m:begChr m:val="("/>
                  <m:endChr m:val=")"/>
                  <m:sepChr m:val=""/>
                  <m:grow/>
                </m:dPr>
                <m:e>
                  <m:r>
                    <m:rPr>
                      <m:sty m:val="b"/>
                    </m:rPr>
                    <m:t>x</m:t>
                  </m:r>
                </m:e>
              </m:d>
            </m:e>
          </m:d>
          <m:r>
            <m:rPr>
              <m:sty m:val="p"/>
            </m:rPr>
            <m:t>,</m:t>
          </m:r>
          <m:r>
            <m:t>  </m:t>
          </m:r>
          <m:r>
            <m:t>σ</m:t>
          </m:r>
          <m:d>
            <m:dPr>
              <m:begChr m:val="("/>
              <m:endChr m:val=")"/>
              <m:sepChr m:val=""/>
              <m:grow/>
            </m:dPr>
            <m:e>
              <m:r>
                <m:t>u</m:t>
              </m:r>
            </m:e>
          </m:d>
          <m:r>
            <m:rPr>
              <m:sty m:val="p"/>
            </m:rPr>
            <m:t>=</m:t>
          </m:r>
          <m:f>
            <m:fPr>
              <m:type m:val="bar"/>
            </m:fPr>
            <m:num>
              <m:r>
                <m:t>1</m:t>
              </m:r>
            </m:num>
            <m:den>
              <m:r>
                <m:t>1</m:t>
              </m:r>
              <m:r>
                <m:rPr>
                  <m:sty m:val="p"/>
                </m:rPr>
                <m:t>+</m:t>
              </m:r>
              <m:sSup>
                <m:e>
                  <m:r>
                    <m:t>e</m:t>
                  </m:r>
                </m:e>
                <m:sup>
                  <m:r>
                    <m:rPr>
                      <m:sty m:val="p"/>
                    </m:rPr>
                    <m:t>−</m:t>
                  </m:r>
                  <m:r>
                    <m:t>u</m:t>
                  </m:r>
                </m:sup>
              </m:sSup>
            </m:den>
          </m:f>
        </m:oMath>
      </m:oMathPara>
    </w:p>
    <w:p>
      <w:pPr>
        <w:pStyle w:val="FirstParagraph"/>
      </w:pPr>
      <w:r>
        <w:t xml:space="preserve">The base learners are then refitted on the full training set. No class re-weighting is applied, so p̂ stays on the true risk scale.</w:t>
      </w:r>
    </w:p>
    <w:p>
      <w:pPr>
        <w:pStyle w:val="BodyText"/>
      </w:pPr>
      <w:r>
        <w:t xml:space="preserve">Calibration is assessed by logistic recalibration on the held-out set. A slope b = 1 and an intercept a = 0 (estimated with the slope fixed at 1) indicate perfect calibration [35]:</w:t>
      </w:r>
    </w:p>
    <w:p>
      <w:pPr>
        <w:pStyle w:val="BodyText"/>
      </w:pPr>
      <m:oMathPara>
        <m:oMathParaPr>
          <m:jc m:val="center"/>
        </m:oMathParaPr>
        <m:oMath>
          <m:r>
            <m:rPr>
              <m:sty m:val="p"/>
            </m:rPr>
            <m:t>logit</m:t>
          </m:r>
          <m:r>
            <m:t>P</m:t>
          </m:r>
          <m:d>
            <m:dPr>
              <m:begChr m:val="("/>
              <m:endChr m:val=")"/>
              <m:sepChr m:val=""/>
              <m:grow/>
            </m:dPr>
            <m:e>
              <m:r>
                <m:t>y</m:t>
              </m:r>
              <m:r>
                <m:rPr>
                  <m:sty m:val="p"/>
                </m:rPr>
                <m:t>=</m:t>
              </m:r>
              <m:r>
                <m:t>1</m:t>
              </m:r>
              <m:r>
                <m:rPr>
                  <m:sty m:val="p"/>
                </m:rPr>
                <m:t>∣</m:t>
              </m:r>
              <m:acc>
                <m:accPr>
                  <m:chr m:val="̂"/>
                </m:accPr>
                <m:e>
                  <m:r>
                    <m:t>p</m:t>
                  </m:r>
                </m:e>
              </m:acc>
            </m:e>
          </m:d>
          <m:r>
            <m:rPr>
              <m:sty m:val="p"/>
            </m:rPr>
            <m:t>=</m:t>
          </m:r>
          <m:r>
            <m:t>a</m:t>
          </m:r>
          <m:r>
            <m:rPr>
              <m:sty m:val="p"/>
            </m:rPr>
            <m:t>+</m:t>
          </m:r>
          <m:r>
            <m:t>b</m:t>
          </m:r>
          <m:r>
            <m:t> </m:t>
          </m:r>
          <m:r>
            <m:rPr>
              <m:sty m:val="p"/>
            </m:rPr>
            <m:t>logit</m:t>
          </m:r>
          <m:d>
            <m:dPr>
              <m:begChr m:val="("/>
              <m:endChr m:val=")"/>
              <m:sepChr m:val=""/>
              <m:grow/>
            </m:dPr>
            <m:e>
              <m:acc>
                <m:accPr>
                  <m:chr m:val="̂"/>
                </m:accPr>
                <m:e>
                  <m:r>
                    <m:t>p</m:t>
                  </m:r>
                </m:e>
              </m:acc>
            </m:e>
          </m:d>
        </m:oMath>
      </m:oMathPara>
    </w:p>
    <w:p>
      <w:pPr>
        <w:pStyle w:val="FirstParagraph"/>
      </w:pPr>
      <w:r>
        <w:t xml:space="preserve">Overall accuracy is measured by the Brier score [37] and the scaled Brier score. A scaled Brier score above 0 means the model beats a constant prediction equal to the prevalence π:</w:t>
      </w:r>
    </w:p>
    <w:p>
      <w:pPr>
        <w:pStyle w:val="BodyText"/>
      </w:pPr>
      <m:oMathPara>
        <m:oMathParaPr>
          <m:jc m:val="center"/>
        </m:oMathParaPr>
        <m:oMath>
          <m:r>
            <m:t>B</m:t>
          </m:r>
          <m:r>
            <m:t>S</m:t>
          </m:r>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sSup>
                <m:e>
                  <m:d>
                    <m:dPr>
                      <m:begChr m:val="("/>
                      <m:endChr m:val=")"/>
                      <m:sepChr m:val=""/>
                      <m:grow/>
                    </m:dPr>
                    <m:e>
                      <m:sSub>
                        <m:e>
                          <m:acc>
                            <m:accPr>
                              <m:chr m:val="̂"/>
                            </m:accPr>
                            <m:e>
                              <m:r>
                                <m:t>p</m:t>
                              </m:r>
                            </m:e>
                          </m:acc>
                        </m:e>
                        <m:sub>
                          <m:r>
                            <m:t>n</m:t>
                          </m:r>
                        </m:sub>
                      </m:sSub>
                      <m:r>
                        <m:rPr>
                          <m:sty m:val="p"/>
                        </m:rPr>
                        <m:t>−</m:t>
                      </m:r>
                      <m:sSub>
                        <m:e>
                          <m:r>
                            <m:t>y</m:t>
                          </m:r>
                        </m:e>
                        <m:sub>
                          <m:r>
                            <m:t>n</m:t>
                          </m:r>
                        </m:sub>
                      </m:sSub>
                    </m:e>
                  </m:d>
                </m:e>
                <m:sup>
                  <m:r>
                    <m:t>2</m:t>
                  </m:r>
                </m:sup>
              </m:sSup>
            </m:e>
          </m:nary>
          <m:r>
            <m:rPr>
              <m:sty m:val="p"/>
            </m:rPr>
            <m:t>,</m:t>
          </m:r>
          <m:r>
            <m:t>  </m:t>
          </m:r>
          <m:r>
            <m:t>B</m:t>
          </m:r>
          <m:sSub>
            <m:e>
              <m:r>
                <m:t>S</m:t>
              </m:r>
            </m:e>
            <m:sub>
              <m:r>
                <m:rPr>
                  <m:nor/>
                  <m:sty m:val="p"/>
                </m:rPr>
                <m:t>scaled</m:t>
              </m:r>
            </m:sub>
          </m:sSub>
          <m:r>
            <m:rPr>
              <m:sty m:val="p"/>
            </m:rPr>
            <m:t>=</m:t>
          </m:r>
          <m:r>
            <m:t>1</m:t>
          </m:r>
          <m:r>
            <m:rPr>
              <m:sty m:val="p"/>
            </m:rPr>
            <m:t>−</m:t>
          </m:r>
          <m:f>
            <m:fPr>
              <m:type m:val="bar"/>
            </m:fPr>
            <m:num>
              <m:r>
                <m:t>B</m:t>
              </m:r>
              <m:r>
                <m:t>S</m:t>
              </m:r>
            </m:num>
            <m:den>
              <m:r>
                <m:t>π</m:t>
              </m:r>
              <m:d>
                <m:dPr>
                  <m:begChr m:val="("/>
                  <m:endChr m:val=")"/>
                  <m:sepChr m:val=""/>
                  <m:grow/>
                </m:dPr>
                <m:e>
                  <m:r>
                    <m:t>1</m:t>
                  </m:r>
                  <m:r>
                    <m:rPr>
                      <m:sty m:val="p"/>
                    </m:rPr>
                    <m:t>−</m:t>
                  </m:r>
                  <m:r>
                    <m:t>π</m:t>
                  </m:r>
                </m:e>
              </m:d>
            </m:den>
          </m:f>
        </m:oMath>
      </m:oMathPara>
    </w:p>
    <w:p>
      <w:pPr>
        <w:pStyle w:val="FirstParagraph"/>
      </w:pPr>
      <w:r>
        <w:t xml:space="preserve">The operating threshold τ is fixed before testing. It is the 80th percentile of the OOF stacked probabilities, so the top 20% of women at booking are flagged. Youden’s J on the OOF predictions is reported as a secondary threshold. Clinical usefulness is summarised by net benefit across thresholds [36]:</w:t>
      </w:r>
    </w:p>
    <w:p>
      <w:pPr>
        <w:pStyle w:val="BodyText"/>
      </w:pPr>
      <m:oMathPara>
        <m:oMathParaPr>
          <m:jc m:val="center"/>
        </m:oMathParaPr>
        <m:oMath>
          <m:r>
            <m:t>N</m:t>
          </m:r>
          <m:r>
            <m:t>B</m:t>
          </m:r>
          <m:d>
            <m:dPr>
              <m:begChr m:val="("/>
              <m:endChr m:val=")"/>
              <m:sepChr m:val=""/>
              <m:grow/>
            </m:dPr>
            <m:e>
              <m:sSub>
                <m:e>
                  <m:r>
                    <m:t>p</m:t>
                  </m:r>
                </m:e>
                <m:sub>
                  <m:r>
                    <m:t>t</m:t>
                  </m:r>
                </m:sub>
              </m:sSub>
            </m:e>
          </m:d>
          <m:r>
            <m:rPr>
              <m:sty m:val="p"/>
            </m:rPr>
            <m:t>=</m:t>
          </m:r>
          <m:f>
            <m:fPr>
              <m:type m:val="bar"/>
            </m:fPr>
            <m:num>
              <m:r>
                <m:t>T</m:t>
              </m:r>
              <m:r>
                <m:t>P</m:t>
              </m:r>
            </m:num>
            <m:den>
              <m:r>
                <m:t>N</m:t>
              </m:r>
            </m:den>
          </m:f>
          <m:r>
            <m:rPr>
              <m:sty m:val="p"/>
            </m:rPr>
            <m:t>−</m:t>
          </m:r>
          <m:f>
            <m:fPr>
              <m:type m:val="bar"/>
            </m:fPr>
            <m:num>
              <m:r>
                <m:t>F</m:t>
              </m:r>
              <m:r>
                <m:t>P</m:t>
              </m:r>
            </m:num>
            <m:den>
              <m:r>
                <m:t>N</m:t>
              </m:r>
            </m:den>
          </m:f>
          <m:r>
            <m:rPr>
              <m:sty m:val="p"/>
            </m:rPr>
            <m:t>⋅</m:t>
          </m:r>
          <m:f>
            <m:fPr>
              <m:type m:val="bar"/>
            </m:fPr>
            <m:num>
              <m:sSub>
                <m:e>
                  <m:r>
                    <m:t>p</m:t>
                  </m:r>
                </m:e>
                <m:sub>
                  <m:r>
                    <m:t>t</m:t>
                  </m:r>
                </m:sub>
              </m:sSub>
            </m:num>
            <m:den>
              <m:r>
                <m:t>1</m:t>
              </m:r>
              <m:r>
                <m:rPr>
                  <m:sty m:val="p"/>
                </m:rPr>
                <m:t>−</m:t>
              </m:r>
              <m:sSub>
                <m:e>
                  <m:r>
                    <m:t>p</m:t>
                  </m:r>
                </m:e>
                <m:sub>
                  <m:r>
                    <m:t>t</m:t>
                  </m:r>
                </m:sub>
              </m:sSub>
            </m:den>
          </m:f>
        </m:oMath>
      </m:oMathPara>
    </w:p>
    <w:bookmarkEnd w:id="34"/>
    <w:bookmarkStart w:id="35" w:name="d.-two-stage-macrosomia-pathway"/>
    <w:p>
      <w:pPr>
        <w:pStyle w:val="Heading3"/>
      </w:pPr>
      <w:r>
        <w:t xml:space="preserve">D. Two-Stage Macrosomia Pathway</w:t>
      </w:r>
    </w:p>
    <w:p>
      <w:pPr>
        <w:pStyle w:val="FirstParagraph"/>
      </w:pPr>
      <w:r>
        <w:rPr>
          <w:bCs/>
          <w:b/>
        </w:rPr>
        <w:t xml:space="preserve">Stage 1</w:t>
      </w:r>
      <w:r>
        <w:t xml:space="preserve"> </w:t>
      </w:r>
      <w:r>
        <w:t xml:space="preserve">is the calibrated booking probability of macrosomia, p₀ = p̂(x).</w:t>
      </w:r>
    </w:p>
    <w:p>
      <w:pPr>
        <w:pStyle w:val="BodyText"/>
      </w:pPr>
      <w:r>
        <w:rPr>
          <w:bCs/>
          <w:b/>
        </w:rPr>
        <w:t xml:space="preserve">Stage 2</w:t>
      </w:r>
      <w:r>
        <w:t xml:space="preserve"> </w:t>
      </w:r>
      <w:r>
        <w:t xml:space="preserve">applies a published ultrasound criterion to a third-trimester scan [27]:</w:t>
      </w:r>
    </w:p>
    <w:p>
      <w:pPr>
        <w:numPr>
          <w:ilvl w:val="0"/>
          <w:numId w:val="1007"/>
        </w:numPr>
        <w:pStyle w:val="Compact"/>
      </w:pPr>
      <w:r>
        <w:t xml:space="preserve">If HC, BPD and FL are available, the four-parameter Hadlock EFW [38] is used, with the criterion EFW ≥ 4000 g (LR⁺ = 5.7, LR⁻ = 0.48).</w:t>
      </w:r>
    </w:p>
    <w:p>
      <w:pPr>
        <w:numPr>
          <w:ilvl w:val="0"/>
          <w:numId w:val="1007"/>
        </w:numPr>
        <w:pStyle w:val="Compact"/>
      </w:pPr>
      <w:r>
        <w:t xml:space="preserve">Otherwise, the criterion is AC ≥ 36 cm (LR⁺ = 6.9, LR⁻ = 0.37).</w:t>
      </w:r>
    </w:p>
    <w:p>
      <w:pPr>
        <w:pStyle w:val="FirstParagraph"/>
      </w:pPr>
      <w:r>
        <w:t xml:space="preserve">Only one criterion is applied, because AC and EFW are strongly correlated. The criterion is applied only to scans at ≥ 36 weeks. This is a conservative project rule, because the pooled studies evaluated prediction of birthweight close to delivery.</w:t>
      </w:r>
    </w:p>
    <w:p>
      <w:pPr>
        <w:pStyle w:val="BodyText"/>
      </w:pPr>
      <w:r>
        <w:t xml:space="preserve">The post-test probability follows from Bayes’ rule in odds form:</w:t>
      </w:r>
    </w:p>
    <w:p>
      <w:pPr>
        <w:pStyle w:val="BodyText"/>
      </w:pPr>
      <m:oMathPara>
        <m:oMathParaPr>
          <m:jc m:val="center"/>
        </m:oMathParaPr>
        <m:oMath>
          <m:f>
            <m:fPr>
              <m:type m:val="bar"/>
            </m:fPr>
            <m:num>
              <m:sSub>
                <m:e>
                  <m:r>
                    <m:t>p</m:t>
                  </m:r>
                </m:e>
                <m:sub>
                  <m:r>
                    <m:t>1</m:t>
                  </m:r>
                </m:sub>
              </m:sSub>
            </m:num>
            <m:den>
              <m:r>
                <m:t>1</m:t>
              </m:r>
              <m:r>
                <m:rPr>
                  <m:sty m:val="p"/>
                </m:rPr>
                <m:t>−</m:t>
              </m:r>
              <m:sSub>
                <m:e>
                  <m:r>
                    <m:t>p</m:t>
                  </m:r>
                </m:e>
                <m:sub>
                  <m:r>
                    <m:t>1</m:t>
                  </m:r>
                </m:sub>
              </m:sSub>
            </m:den>
          </m:f>
          <m:r>
            <m:rPr>
              <m:sty m:val="p"/>
            </m:rPr>
            <m:t>=</m:t>
          </m:r>
          <m:f>
            <m:fPr>
              <m:type m:val="bar"/>
            </m:fPr>
            <m:num>
              <m:sSub>
                <m:e>
                  <m:r>
                    <m:t>p</m:t>
                  </m:r>
                </m:e>
                <m:sub>
                  <m:r>
                    <m:t>0</m:t>
                  </m:r>
                </m:sub>
              </m:sSub>
            </m:num>
            <m:den>
              <m:r>
                <m:t>1</m:t>
              </m:r>
              <m:r>
                <m:rPr>
                  <m:sty m:val="p"/>
                </m:rPr>
                <m:t>−</m:t>
              </m:r>
              <m:sSub>
                <m:e>
                  <m:r>
                    <m:t>p</m:t>
                  </m:r>
                </m:e>
                <m:sub>
                  <m:r>
                    <m:t>0</m:t>
                  </m:r>
                </m:sub>
              </m:sSub>
            </m:den>
          </m:f>
          <m:r>
            <m:rPr>
              <m:sty m:val="p"/>
            </m:rPr>
            <m:t>×</m:t>
          </m:r>
          <m:r>
            <m:t>L</m:t>
          </m:r>
          <m:r>
            <m:t>R</m:t>
          </m:r>
          <m:r>
            <m:rPr>
              <m:sty m:val="p"/>
            </m:rPr>
            <m:t>,</m:t>
          </m:r>
          <m:r>
            <m:t>  </m:t>
          </m:r>
          <m:sSub>
            <m:e>
              <m:r>
                <m:t>p</m:t>
              </m:r>
            </m:e>
            <m:sub>
              <m:r>
                <m:t>1</m:t>
              </m:r>
            </m:sub>
          </m:sSub>
          <m:r>
            <m:rPr>
              <m:sty m:val="p"/>
            </m:rPr>
            <m:t>=</m:t>
          </m:r>
          <m:f>
            <m:fPr>
              <m:type m:val="bar"/>
            </m:fPr>
            <m:num>
              <m:sSub>
                <m:e>
                  <m:r>
                    <m:rPr>
                      <m:nor/>
                      <m:sty m:val="p"/>
                    </m:rPr>
                    <m:t>odds</m:t>
                  </m:r>
                </m:e>
                <m:sub>
                  <m:r>
                    <m:t>0</m:t>
                  </m:r>
                </m:sub>
              </m:sSub>
              <m:r>
                <m:rPr>
                  <m:sty m:val="p"/>
                </m:rPr>
                <m:t>⋅</m:t>
              </m:r>
              <m:r>
                <m:t>L</m:t>
              </m:r>
              <m:r>
                <m:t>R</m:t>
              </m:r>
            </m:num>
            <m:den>
              <m:r>
                <m:t>1</m:t>
              </m:r>
              <m:r>
                <m:rPr>
                  <m:sty m:val="p"/>
                </m:rPr>
                <m:t>+</m:t>
              </m:r>
              <m:sSub>
                <m:e>
                  <m:r>
                    <m:rPr>
                      <m:nor/>
                      <m:sty m:val="p"/>
                    </m:rPr>
                    <m:t>odds</m:t>
                  </m:r>
                </m:e>
                <m:sub>
                  <m:r>
                    <m:t>0</m:t>
                  </m:r>
                </m:sub>
              </m:sSub>
              <m:r>
                <m:rPr>
                  <m:sty m:val="p"/>
                </m:rPr>
                <m:t>⋅</m:t>
              </m:r>
              <m:r>
                <m:t>L</m:t>
              </m:r>
              <m:r>
                <m:t>R</m:t>
              </m:r>
            </m:den>
          </m:f>
        </m:oMath>
      </m:oMathPara>
    </w:p>
    <w:p>
      <w:pPr>
        <w:pStyle w:val="FirstParagraph"/>
      </w:pPr>
      <w:r>
        <w:t xml:space="preserve">This combination assumes that the published likelihood ratios transfer to this population and do not depend on the booking predictors. It is therefore reported as exploratory.</w:t>
      </w:r>
    </w:p>
    <w:p>
      <w:pPr>
        <w:pStyle w:val="BodyText"/>
      </w:pPr>
      <w:r>
        <w:t xml:space="preserve">The pathway assigns three tiers:</w:t>
      </w:r>
    </w:p>
    <w:p>
      <w:pPr>
        <w:numPr>
          <w:ilvl w:val="0"/>
          <w:numId w:val="1008"/>
        </w:numPr>
        <w:pStyle w:val="Compact"/>
      </w:pPr>
      <w:r>
        <w:rPr>
          <w:bCs/>
          <w:b/>
        </w:rPr>
        <w:t xml:space="preserve">High:</w:t>
      </w:r>
      <w:r>
        <w:t xml:space="preserve"> </w:t>
      </w:r>
      <w:r>
        <w:t xml:space="preserve">the Stage 2 criterion is positive.</w:t>
      </w:r>
    </w:p>
    <w:p>
      <w:pPr>
        <w:numPr>
          <w:ilvl w:val="0"/>
          <w:numId w:val="1008"/>
        </w:numPr>
        <w:pStyle w:val="Compact"/>
      </w:pPr>
      <w:r>
        <w:rPr>
          <w:bCs/>
          <w:b/>
        </w:rPr>
        <w:t xml:space="preserve">Moderate:</w:t>
      </w:r>
      <w:r>
        <w:t xml:space="preserve"> </w:t>
      </w:r>
      <w:r>
        <w:t xml:space="preserve">Stage 1 flags the woman (top 20% of booking risk) and Stage 2 is not positive. A growth scan is advised.</w:t>
      </w:r>
    </w:p>
    <w:p>
      <w:pPr>
        <w:numPr>
          <w:ilvl w:val="0"/>
          <w:numId w:val="1008"/>
        </w:numPr>
        <w:pStyle w:val="Compact"/>
      </w:pPr>
      <w:r>
        <w:rPr>
          <w:bCs/>
          <w:b/>
        </w:rPr>
        <w:t xml:space="preserve">Low:</w:t>
      </w:r>
      <w:r>
        <w:t xml:space="preserve"> </w:t>
      </w:r>
      <w:r>
        <w:t xml:space="preserve">neither.</w:t>
      </w:r>
    </w:p>
    <w:p>
      <w:pPr>
        <w:pStyle w:val="FirstParagraph"/>
      </w:pPr>
      <w:r>
        <w:t xml:space="preserve">The median AC for gestational age from Choi et al. [14] (ACₘₑd = GA − 5 cm, valid for 20–40 weeks) is shown as descriptive context only.</w:t>
      </w:r>
    </w:p>
    <w:bookmarkEnd w:id="35"/>
    <w:bookmarkStart w:id="36" w:name="X424ee1a5684dfff5285a152de3ecb7bbdf09ecb"/>
    <w:p>
      <w:pPr>
        <w:pStyle w:val="Heading3"/>
      </w:pPr>
      <w:r>
        <w:t xml:space="preserve">E. Fetal Abdominal Circumference Biometry</w:t>
      </w:r>
    </w:p>
    <w:p>
      <w:pPr>
        <w:pStyle w:val="FirstParagraph"/>
      </w:pPr>
      <w:r>
        <w:t xml:space="preserve">The segmentation network is an Attention U-Net [22] with 7.86 M parameters. It has five encoder levels (32–512 channels), additive attention gates on the skip connections, and a single-channel output. Inputs are grayscale frames resized to 320 × 416.</w:t>
      </w:r>
    </w:p>
    <w:p>
      <w:pPr>
        <w:pStyle w:val="BodyText"/>
      </w:pPr>
      <w:r>
        <w:t xml:space="preserve">For one sweep of F = 140 frames, each frame i yields a probability map Pᵢ. Thresholding at 0.5 and keeping the largest connected component (≥ 2,000 pixels) gives a mask Mᵢ. The frame confidence is the mean probability inside the mask:</w:t>
      </w:r>
    </w:p>
    <w:p>
      <w:pPr>
        <w:pStyle w:val="BodyText"/>
      </w:pPr>
      <m:oMathPara>
        <m:oMathParaPr>
          <m:jc m:val="center"/>
        </m:oMathParaPr>
        <m:oMath>
          <m:sSub>
            <m:e>
              <m:r>
                <m:t>c</m:t>
              </m:r>
            </m:e>
            <m:sub>
              <m:r>
                <m:t>i</m:t>
              </m:r>
            </m:sub>
          </m:sSub>
          <m:r>
            <m:rPr>
              <m:sty m:val="p"/>
            </m:rPr>
            <m:t>=</m:t>
          </m:r>
          <m:f>
            <m:fPr>
              <m:type m:val="bar"/>
            </m:fPr>
            <m:num>
              <m:r>
                <m:t>1</m:t>
              </m:r>
            </m:num>
            <m:den>
              <m:d>
                <m:dPr>
                  <m:begChr m:val="|"/>
                  <m:endChr m:val="|"/>
                  <m:sepChr m:val=""/>
                  <m:grow/>
                </m:dPr>
                <m:e>
                  <m:sSub>
                    <m:e>
                      <m:r>
                        <m:t>M</m:t>
                      </m:r>
                    </m:e>
                    <m:sub>
                      <m:r>
                        <m:t>i</m:t>
                      </m:r>
                    </m:sub>
                  </m:sSub>
                </m:e>
              </m:d>
            </m:den>
          </m:f>
          <m:nary>
            <m:naryPr>
              <m:chr m:val="∑"/>
              <m:limLoc m:val="undOvr"/>
              <m:subHide m:val="off"/>
              <m:supHide m:val="on"/>
            </m:naryPr>
            <m:sub>
              <m:r>
                <m:t>u</m:t>
              </m:r>
              <m:r>
                <m:rPr>
                  <m:sty m:val="p"/>
                </m:rPr>
                <m:t>∈</m:t>
              </m:r>
              <m:sSub>
                <m:e>
                  <m:r>
                    <m:t>M</m:t>
                  </m:r>
                </m:e>
                <m:sub>
                  <m:r>
                    <m:t>i</m:t>
                  </m:r>
                </m:sub>
              </m:sSub>
            </m:sub>
            <m:sup>
              <m:r>
                <m:t>​</m:t>
              </m:r>
            </m:sup>
            <m:e>
              <m:sSub>
                <m:e>
                  <m:r>
                    <m:t>P</m:t>
                  </m:r>
                </m:e>
                <m:sub>
                  <m:r>
                    <m:t>i</m:t>
                  </m:r>
                </m:sub>
              </m:sSub>
            </m:e>
          </m:nary>
          <m:d>
            <m:dPr>
              <m:begChr m:val="("/>
              <m:endChr m:val=")"/>
              <m:sepChr m:val=""/>
              <m:grow/>
            </m:dPr>
            <m:e>
              <m:r>
                <m:t>u</m:t>
              </m:r>
            </m:e>
          </m:d>
        </m:oMath>
      </m:oMathPara>
    </w:p>
    <w:p>
      <w:pPr>
        <w:pStyle w:val="FirstParagraph"/>
      </w:pPr>
      <w:r>
        <w:t xml:space="preserve">The five most confident frames are kept. For each one, the probability map is resized to the original 562 × 744 resolution and a least-squares ellipse is fitted to the outer contour. With full axis lengths w and h (in pixels) and pixel spacing s read from the image header, the semi-axes are a = s·w/2 and b = s·h/2. The perimeter follows Ramanujan’s first approximation [23]:</w:t>
      </w:r>
    </w:p>
    <w:p>
      <w:pPr>
        <w:pStyle w:val="BodyText"/>
      </w:pPr>
      <m:oMathPara>
        <m:oMathParaPr>
          <m:jc m:val="center"/>
        </m:oMathParaPr>
        <m:oMath>
          <m:r>
            <m:t>A</m:t>
          </m:r>
          <m:sSub>
            <m:e>
              <m:r>
                <m:t>C</m:t>
              </m:r>
            </m:e>
            <m:sub>
              <m:r>
                <m:t>i</m:t>
              </m:r>
            </m:sub>
          </m:sSub>
          <m:r>
            <m:rPr>
              <m:sty m:val="p"/>
            </m:rPr>
            <m:t>=</m:t>
          </m:r>
          <m:r>
            <m:t>π</m:t>
          </m:r>
          <m:d>
            <m:dPr>
              <m:begChr m:val="["/>
              <m:endChr m:val="]"/>
              <m:sepChr m:val=""/>
              <m:grow/>
            </m:dPr>
            <m:e>
              <m:r>
                <m:t> </m:t>
              </m:r>
              <m:r>
                <m:t>3</m:t>
              </m:r>
              <m:d>
                <m:dPr>
                  <m:begChr m:val="("/>
                  <m:endChr m:val=")"/>
                  <m:sepChr m:val=""/>
                  <m:grow/>
                </m:dPr>
                <m:e>
                  <m:r>
                    <m:t>a</m:t>
                  </m:r>
                  <m:r>
                    <m:rPr>
                      <m:sty m:val="p"/>
                    </m:rPr>
                    <m:t>+</m:t>
                  </m:r>
                  <m:r>
                    <m:t>b</m:t>
                  </m:r>
                </m:e>
              </m:d>
              <m:r>
                <m:rPr>
                  <m:sty m:val="p"/>
                </m:rPr>
                <m:t>−</m:t>
              </m:r>
              <m:rad>
                <m:radPr>
                  <m:degHide m:val="on"/>
                </m:radPr>
                <m:deg/>
                <m:e>
                  <m:d>
                    <m:dPr>
                      <m:begChr m:val="("/>
                      <m:endChr m:val=")"/>
                      <m:sepChr m:val=""/>
                      <m:grow/>
                    </m:dPr>
                    <m:e>
                      <m:r>
                        <m:t>3</m:t>
                      </m:r>
                      <m:r>
                        <m:t>a</m:t>
                      </m:r>
                      <m:r>
                        <m:rPr>
                          <m:sty m:val="p"/>
                        </m:rPr>
                        <m:t>+</m:t>
                      </m:r>
                      <m:r>
                        <m:t>b</m:t>
                      </m:r>
                    </m:e>
                  </m:d>
                  <m:d>
                    <m:dPr>
                      <m:begChr m:val="("/>
                      <m:endChr m:val=")"/>
                      <m:sepChr m:val=""/>
                      <m:grow/>
                    </m:dPr>
                    <m:e>
                      <m:r>
                        <m:t>a</m:t>
                      </m:r>
                      <m:r>
                        <m:rPr>
                          <m:sty m:val="p"/>
                        </m:rPr>
                        <m:t>+</m:t>
                      </m:r>
                      <m:r>
                        <m:t>3</m:t>
                      </m:r>
                      <m:r>
                        <m:t>b</m:t>
                      </m:r>
                    </m:e>
                  </m:d>
                </m:e>
              </m:rad>
              <m:r>
                <m:t> </m:t>
              </m:r>
            </m:e>
          </m:d>
        </m:oMath>
      </m:oMathPara>
    </w:p>
    <w:p>
      <w:pPr>
        <w:pStyle w:val="FirstParagraph"/>
      </w:pPr>
      <w:r>
        <w:t xml:space="preserve">The sweep AC is the median of the five ACᵢ values.</w:t>
      </w:r>
    </w:p>
    <w:p>
      <w:pPr>
        <w:pStyle w:val="BodyText"/>
      </w:pPr>
      <w:r>
        <w:t xml:space="preserve">For single frames, the AC-only Hadlock EFW (AC in cm) [16] is also reported:</w:t>
      </w:r>
    </w:p>
    <w:p>
      <w:pPr>
        <w:pStyle w:val="BodyText"/>
      </w:pPr>
      <m:oMathPara>
        <m:oMathParaPr>
          <m:jc m:val="center"/>
        </m:oMathParaPr>
        <m:oMath>
          <m:r>
            <m:rPr>
              <m:sty m:val="p"/>
            </m:rPr>
            <m:t>ln</m:t>
          </m:r>
          <m:d>
            <m:dPr>
              <m:begChr m:val="("/>
              <m:endChr m:val=")"/>
              <m:sepChr m:val=""/>
              <m:grow/>
            </m:dPr>
            <m:e>
              <m:r>
                <m:t>E</m:t>
              </m:r>
              <m:r>
                <m:t>F</m:t>
              </m:r>
              <m:sSub>
                <m:e>
                  <m:r>
                    <m:t>W</m:t>
                  </m:r>
                </m:e>
                <m:sub>
                  <m:r>
                    <m:t>g</m:t>
                  </m:r>
                </m:sub>
              </m:sSub>
            </m:e>
          </m:d>
          <m:r>
            <m:rPr>
              <m:sty m:val="p"/>
            </m:rPr>
            <m:t>=</m:t>
          </m:r>
          <m:r>
            <m:t>2.695</m:t>
          </m:r>
          <m:r>
            <m:rPr>
              <m:sty m:val="p"/>
            </m:rPr>
            <m:t>+</m:t>
          </m:r>
          <m:r>
            <m:t>0.253</m:t>
          </m:r>
          <m:r>
            <m:t> </m:t>
          </m:r>
          <m:r>
            <m:t>A</m:t>
          </m:r>
          <m:r>
            <m:t>C</m:t>
          </m:r>
          <m:r>
            <m:rPr>
              <m:sty m:val="p"/>
            </m:rPr>
            <m:t>−</m:t>
          </m:r>
          <m:r>
            <m:t>0.00275</m:t>
          </m:r>
          <m:r>
            <m:t> </m:t>
          </m:r>
          <m:r>
            <m:t>A</m:t>
          </m:r>
          <m:sSup>
            <m:e>
              <m:r>
                <m:t>C</m:t>
              </m:r>
            </m:e>
            <m:sup>
              <m:r>
                <m:t>2</m:t>
              </m:r>
            </m:sup>
          </m:sSup>
        </m:oMath>
      </m:oMathPara>
    </w:p>
    <w:bookmarkEnd w:id="36"/>
    <w:bookmarkStart w:id="37" w:name="f.-continuous-time-trajectory-simulation"/>
    <w:p>
      <w:pPr>
        <w:pStyle w:val="Heading3"/>
      </w:pPr>
      <w:r>
        <w:t xml:space="preserve">F. Continuous-Time Trajectory Simulation</w:t>
      </w:r>
    </w:p>
    <w:p>
      <w:pPr>
        <w:pStyle w:val="FirstParagraph"/>
      </w:pPr>
      <w:r>
        <w:t xml:space="preserve">An encoder maps the booking predictors to a latent vector h ∈ ℝ³². A projector sets the initial state z(t₀) = g(x, h), where z holds fasting glucose (mmol/L), BMI (kg/m²) and systolic blood pressure (mmHg). The dynamics are rate-bounded:</w:t>
      </w:r>
    </w:p>
    <w:p>
      <w:pPr>
        <w:pStyle w:val="BodyText"/>
      </w:pPr>
      <m:oMathPara>
        <m:oMathParaPr>
          <m:jc m:val="center"/>
        </m:oMathParaPr>
        <m:oMath>
          <m:f>
            <m:fPr>
              <m:type m:val="bar"/>
            </m:fPr>
            <m:num>
              <m:r>
                <m:t>d</m:t>
              </m:r>
              <m:r>
                <m:rPr>
                  <m:sty m:val="b"/>
                </m:rPr>
                <m:t>z</m:t>
              </m:r>
            </m:num>
            <m:den>
              <m:r>
                <m:t>d</m:t>
              </m:r>
              <m:r>
                <m:t>t</m:t>
              </m:r>
            </m:den>
          </m:f>
          <m:r>
            <m:rPr>
              <m:sty m:val="p"/>
            </m:rPr>
            <m:t>=</m:t>
          </m:r>
          <m:r>
            <m:rPr>
              <m:sty m:val="b"/>
            </m:rPr>
            <m:t>r</m:t>
          </m:r>
          <m:r>
            <m:rPr>
              <m:sty m:val="p"/>
            </m:rPr>
            <m:t>⊙</m:t>
          </m:r>
          <m:r>
            <m:rPr>
              <m:sty m:val="p"/>
            </m:rPr>
            <m:t>tanh</m:t>
          </m:r>
          <m:d>
            <m:dPr>
              <m:begChr m:val="("/>
              <m:endChr m:val=")"/>
              <m:sepChr m:val=""/>
              <m:grow/>
            </m:dPr>
            <m:e>
              <m:sSub>
                <m:e>
                  <m:r>
                    <m:t>f</m:t>
                  </m:r>
                </m:e>
                <m:sub>
                  <m:r>
                    <m:t>θ</m:t>
                  </m:r>
                </m:sub>
              </m:sSub>
              <m:d>
                <m:dPr>
                  <m:begChr m:val="("/>
                  <m:endChr m:val=")"/>
                  <m:sepChr m:val=""/>
                  <m:grow/>
                </m:dPr>
                <m:e>
                  <m:r>
                    <m:rPr>
                      <m:sty m:val="b"/>
                    </m:rPr>
                    <m:t>z</m:t>
                  </m:r>
                  <m:d>
                    <m:dPr>
                      <m:begChr m:val="("/>
                      <m:endChr m:val=")"/>
                      <m:sepChr m:val=""/>
                      <m:grow/>
                    </m:dPr>
                    <m:e>
                      <m:r>
                        <m:t>t</m:t>
                      </m:r>
                    </m:e>
                  </m:d>
                  <m:r>
                    <m:rPr>
                      <m:sty m:val="p"/>
                    </m:rPr>
                    <m:t>,</m:t>
                  </m:r>
                  <m:r>
                    <m:t> </m:t>
                  </m:r>
                  <m:r>
                    <m:t>t</m:t>
                  </m:r>
                  <m:r>
                    <m:rPr>
                      <m:sty m:val="p"/>
                    </m:rPr>
                    <m:t>/</m:t>
                  </m:r>
                  <m:r>
                    <m:t>40</m:t>
                  </m:r>
                  <m:r>
                    <m:rPr>
                      <m:sty m:val="p"/>
                    </m:rPr>
                    <m:t>,</m:t>
                  </m:r>
                  <m:r>
                    <m:t> </m:t>
                  </m:r>
                  <m:r>
                    <m:rPr>
                      <m:sty m:val="b"/>
                    </m:rPr>
                    <m:t>h</m:t>
                  </m:r>
                </m:e>
              </m:d>
            </m:e>
          </m:d>
          <m:r>
            <m:rPr>
              <m:sty m:val="p"/>
            </m:rPr>
            <m:t>,</m:t>
          </m:r>
          <m:r>
            <m:t>  </m:t>
          </m:r>
          <m:r>
            <m:rPr>
              <m:sty m:val="b"/>
            </m:rPr>
            <m:t>r</m:t>
          </m:r>
          <m:r>
            <m:rPr>
              <m:sty m:val="p"/>
            </m:rPr>
            <m:t>=</m:t>
          </m:r>
          <m:d>
            <m:dPr>
              <m:begChr m:val="("/>
              <m:endChr m:val=")"/>
              <m:sepChr m:val=""/>
              <m:grow/>
            </m:dPr>
            <m:e>
              <m:r>
                <m:t>0.08</m:t>
              </m:r>
              <m:r>
                <m:rPr>
                  <m:sty m:val="p"/>
                </m:rPr>
                <m:t>,</m:t>
              </m:r>
              <m:r>
                <m:t> </m:t>
              </m:r>
              <m:r>
                <m:t>0.25</m:t>
              </m:r>
              <m:r>
                <m:rPr>
                  <m:sty m:val="p"/>
                </m:rPr>
                <m:t>,</m:t>
              </m:r>
              <m:r>
                <m:t> </m:t>
              </m:r>
              <m:r>
                <m:t>0.50</m:t>
              </m:r>
            </m:e>
          </m:d>
          <m:r>
            <m:t> </m:t>
          </m:r>
          <m:r>
            <m:rPr>
              <m:nor/>
              <m:sty m:val="p"/>
            </m:rPr>
            <m:t>per week</m:t>
          </m:r>
        </m:oMath>
      </m:oMathPara>
    </w:p>
    <w:p>
      <w:pPr>
        <w:pStyle w:val="FirstParagraph"/>
      </w:pPr>
      <w:r>
        <w:t xml:space="preserve">The system is integrated with fourth-order Runge–Kutta from week 12 to week 40. During training, the initial state is fitted to the observed values. The cohort has a single glucose value per woman (the fasting OGTT value), so the slope of each trajectory has no direct supervision. Section V-E tests this.</w:t>
      </w:r>
    </w:p>
    <w:bookmarkEnd w:id="37"/>
    <w:bookmarkStart w:id="38" w:name="g.-synthetic-cohort-generation"/>
    <w:p>
      <w:pPr>
        <w:pStyle w:val="Heading3"/>
      </w:pPr>
      <w:r>
        <w:t xml:space="preserve">G. Synthetic Cohort Generation</w:t>
      </w:r>
    </w:p>
    <w:p>
      <w:pPr>
        <w:pStyle w:val="FirstParagraph"/>
      </w:pPr>
      <w:r>
        <w:t xml:space="preserve">CTGAN [24] is trained on the ten booking predictors and the GDM label. It uses mode-specific normalisation and PacGAN discrimination (pac = 10). The synthetic data are assessed for marginal and correlation fidelity, train-synthetic-test-real (TSTR) utility, and distance-to-closest-record. DCR is treated as an indicator, not a privacy guarantee [25], [26]. Synthetic records are not used to train the clinical models.</w:t>
      </w:r>
    </w:p>
    <w:bookmarkEnd w:id="38"/>
    <w:bookmarkStart w:id="39" w:name="h.-algorithms"/>
    <w:p>
      <w:pPr>
        <w:pStyle w:val="Heading3"/>
      </w:pPr>
      <w:r>
        <w:t xml:space="preserve">H. Algorithms</w:t>
      </w:r>
    </w:p>
    <w:p>
      <w:pPr>
        <w:pStyle w:val="FirstParagraph"/>
      </w:pPr>
      <w:r>
        <w:rPr>
          <w:bCs/>
          <w:b/>
        </w:rPr>
        <w:t xml:space="preserve">Algorithm 1 — Training the booking models</w:t>
      </w:r>
    </w:p>
    <w:p>
      <w:pPr>
        <w:numPr>
          <w:ilvl w:val="0"/>
          <w:numId w:val="1009"/>
        </w:numPr>
        <w:pStyle w:val="Compact"/>
      </w:pPr>
      <w:r>
        <w:t xml:space="preserve">Load the fixed 80/20 split. Apply the leakage guard and the data-quality rules.</w:t>
      </w:r>
    </w:p>
    <w:p>
      <w:pPr>
        <w:numPr>
          <w:ilvl w:val="0"/>
          <w:numId w:val="1009"/>
        </w:numPr>
        <w:pStyle w:val="Compact"/>
      </w:pPr>
      <w:r>
        <w:t xml:space="preserve">For each fold k = 1,…,5: fit the preprocessor on the training folds, train the four base learners, and store OOF probabilities.</w:t>
      </w:r>
    </w:p>
    <w:p>
      <w:pPr>
        <w:numPr>
          <w:ilvl w:val="0"/>
          <w:numId w:val="1009"/>
        </w:numPr>
        <w:pStyle w:val="Compact"/>
      </w:pPr>
      <w:r>
        <w:t xml:space="preserve">Fit the logistic meta-learner on the OOF probability matrix.</w:t>
      </w:r>
    </w:p>
    <w:p>
      <w:pPr>
        <w:numPr>
          <w:ilvl w:val="0"/>
          <w:numId w:val="1009"/>
        </w:numPr>
        <w:pStyle w:val="Compact"/>
      </w:pPr>
      <w:r>
        <w:t xml:space="preserve">Set τ to the 80th percentile of the OOF stacked probabilities.</w:t>
      </w:r>
    </w:p>
    <w:p>
      <w:pPr>
        <w:numPr>
          <w:ilvl w:val="0"/>
          <w:numId w:val="1009"/>
        </w:numPr>
        <w:pStyle w:val="Compact"/>
      </w:pPr>
      <w:r>
        <w:t xml:space="preserve">Refit the preprocessor and base learners on all training data.</w:t>
      </w:r>
    </w:p>
    <w:p>
      <w:pPr>
        <w:numPr>
          <w:ilvl w:val="0"/>
          <w:numId w:val="1009"/>
        </w:numPr>
        <w:pStyle w:val="Compact"/>
      </w:pPr>
      <w:r>
        <w:t xml:space="preserve">Score the held-out set once. Report discrimination, calibration, Brier score, net benefit and SHAP, with 1,000 bootstrap resamples.</w:t>
      </w:r>
    </w:p>
    <w:p>
      <w:pPr>
        <w:pStyle w:val="FirstParagraph"/>
      </w:pPr>
      <w:r>
        <w:rPr>
          <w:bCs/>
          <w:b/>
        </w:rPr>
        <w:t xml:space="preserve">Algorithm 2 — Two-stage macrosomia inference</w:t>
      </w:r>
    </w:p>
    <w:p>
      <w:pPr>
        <w:numPr>
          <w:ilvl w:val="0"/>
          <w:numId w:val="1010"/>
        </w:numPr>
        <w:pStyle w:val="Compact"/>
      </w:pPr>
      <w:r>
        <w:t xml:space="preserve">Compute p₀ with the booking model. Flag the woman if p₀ ≥ τ.</w:t>
      </w:r>
    </w:p>
    <w:p>
      <w:pPr>
        <w:numPr>
          <w:ilvl w:val="0"/>
          <w:numId w:val="1010"/>
        </w:numPr>
        <w:pStyle w:val="Compact"/>
      </w:pPr>
      <w:r>
        <w:t xml:space="preserve">If a scan at ≥ 36 weeks is available, select the EFW criterion (if HC, BPD and FL are present) or the AC criterion, and obtain the matching LR.</w:t>
      </w:r>
    </w:p>
    <w:p>
      <w:pPr>
        <w:numPr>
          <w:ilvl w:val="0"/>
          <w:numId w:val="1010"/>
        </w:numPr>
        <w:pStyle w:val="Compact"/>
      </w:pPr>
      <w:r>
        <w:t xml:space="preserve">Compute p₁ with the odds-form Bayes rule.</w:t>
      </w:r>
    </w:p>
    <w:p>
      <w:pPr>
        <w:numPr>
          <w:ilvl w:val="0"/>
          <w:numId w:val="1010"/>
        </w:numPr>
        <w:pStyle w:val="Compact"/>
      </w:pPr>
      <w:r>
        <w:t xml:space="preserve">Assign the tier (High, Moderate or Low) and report p₀, p₁ and the criterion used.</w:t>
      </w:r>
    </w:p>
    <w:bookmarkEnd w:id="39"/>
    <w:bookmarkEnd w:id="40"/>
    <w:bookmarkStart w:id="44" w:name="iv.-dataset-description"/>
    <w:p>
      <w:pPr>
        <w:pStyle w:val="Heading2"/>
      </w:pPr>
      <w:r>
        <w:t xml:space="preserve">IV. Dataset Description</w:t>
      </w:r>
    </w:p>
    <w:p>
      <w:pPr>
        <w:pStyle w:val="FirstParagraph"/>
      </w:pPr>
      <w:r>
        <w:t xml:space="preserve">Three datasets are used, each for the component it can validate: a maternity cohort for the booking models, ACOUSLIC-AI for AC measurement, and a synthetic longitudinal cohort for the Neural ODE method benchmark.</w:t>
      </w:r>
    </w:p>
    <w:bookmarkStart w:id="41" w:name="X58ea6a8e3fac35b38f41aaca5a223cd250ba617"/>
    <w:p>
      <w:pPr>
        <w:pStyle w:val="Heading3"/>
      </w:pPr>
      <w:r>
        <w:t xml:space="preserve">A. Maternal Cohort (St Mary’s Hospital GDM Dataset)</w:t>
      </w:r>
    </w:p>
    <w:p>
      <w:pPr>
        <w:pStyle w:val="FirstParagraph"/>
      </w:pPr>
      <w:r>
        <w:t xml:space="preserve">The maternal data are the openly available GDM Dataset of Jeyaparam and Agha-Jaffar [41]. It contains anonymised electronic health records of obstetric admissions at St Mary’s Hospital, Imperial College Healthcare NHS Trust, London, from April 2016 to November 2019.</w:t>
      </w:r>
    </w:p>
    <w:p>
      <w:pPr>
        <w:pStyle w:val="BodyText"/>
      </w:pPr>
      <w:r>
        <w:t xml:space="preserve">After excluding records without a GDM outcome, 23,490 women remain, with 48 variables. These cover booking characteristics, antenatal laboratory values, OGTT glucose, and delivery and neonatal outcomes. The cohort is split once into training (80%) and test (20%) sets, stratified by GDM with seed 42. The same split is used for every booking-model experiment.</w:t>
      </w:r>
    </w:p>
    <w:p>
      <w:pPr>
        <w:pStyle w:val="BodyText"/>
      </w:pPr>
      <w:r>
        <w:t xml:space="preserve">Table I summarises the cohort. Booking gestational age exceeded 12 weeks for about 23% of women, so the ≤ 12-week subgroup is reported separately. Fasting OGTT glucose was recorded for 72% of women overall: 99.9% of women with GDM but only about 70% of those without. Its missingness is therefore informative, which is one more reason to exclude it.</w:t>
      </w:r>
    </w:p>
    <w:p>
      <w:pPr>
        <w:pStyle w:val="BodyText"/>
      </w:pPr>
      <w:r>
        <w:rPr>
          <w:bCs/>
          <w:b/>
        </w:rPr>
        <w:t xml:space="preserve">TABLE I — Maternal cohort: split and outcome prevalence</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rPr>
        <w:tc>
          <w:tcPr>
            <w:shd w:val="clear" w:color="auto" w:fill="E7E6E6"/>
          </w:tcPr>
          <w:p>
            <w:pPr>
              <w:pStyle w:val="Compact"/>
              <w:spacing w:after="0"/>
              <w:jc w:val="left"/>
            </w:pPr>
            <w:r>
              <w:rPr>
                <w:rFonts w:ascii="Times New Roman" w:hAnsi="Times New Roman"/>
                <w:b/>
                <w:sz w:val="18"/>
              </w:rPr>
              <w:t xml:space="preserve">Split</w:t>
            </w:r>
          </w:p>
        </w:tc>
        <w:tc>
          <w:tcPr>
            <w:shd w:val="clear" w:color="auto" w:fill="E7E6E6"/>
          </w:tcPr>
          <w:p>
            <w:pPr>
              <w:pStyle w:val="Compact"/>
              <w:spacing w:after="0"/>
              <w:jc w:val="left"/>
            </w:pPr>
            <w:r>
              <w:rPr>
                <w:rFonts w:ascii="Times New Roman" w:hAnsi="Times New Roman"/>
                <w:b/>
                <w:sz w:val="18"/>
              </w:rPr>
              <w:t xml:space="preserve">Women</w:t>
            </w:r>
          </w:p>
        </w:tc>
        <w:tc>
          <w:tcPr>
            <w:shd w:val="clear" w:color="auto" w:fill="E7E6E6"/>
          </w:tcPr>
          <w:p>
            <w:pPr>
              <w:pStyle w:val="Compact"/>
              <w:spacing w:after="0"/>
              <w:jc w:val="left"/>
            </w:pPr>
            <w:r>
              <w:rPr>
                <w:rFonts w:ascii="Times New Roman" w:hAnsi="Times New Roman"/>
                <w:b/>
                <w:sz w:val="18"/>
              </w:rPr>
              <w:t xml:space="preserve">GDM, n (%)</w:t>
            </w:r>
          </w:p>
        </w:tc>
        <w:tc>
          <w:tcPr>
            <w:shd w:val="clear" w:color="auto" w:fill="E7E6E6"/>
          </w:tcPr>
          <w:p>
            <w:pPr>
              <w:pStyle w:val="Compact"/>
              <w:spacing w:after="0"/>
              <w:jc w:val="left"/>
            </w:pPr>
            <w:r>
              <w:rPr>
                <w:rFonts w:ascii="Times New Roman" w:hAnsi="Times New Roman"/>
                <w:b/>
                <w:sz w:val="18"/>
              </w:rPr>
              <w:t xml:space="preserve">Birthweight ≥ 4000 g, n (%)</w:t>
            </w:r>
          </w:p>
        </w:tc>
        <w:tc>
          <w:tcPr>
            <w:shd w:val="clear" w:color="auto" w:fill="E7E6E6"/>
          </w:tcPr>
          <w:p>
            <w:pPr>
              <w:pStyle w:val="Compact"/>
              <w:spacing w:after="0"/>
              <w:jc w:val="left"/>
            </w:pPr>
            <w:r>
              <w:rPr>
                <w:rFonts w:ascii="Times New Roman" w:hAnsi="Times New Roman"/>
                <w:b/>
                <w:sz w:val="18"/>
              </w:rPr>
              <w:t xml:space="preserve">LGA (birthweight centile ≥ 90), %</w:t>
            </w:r>
          </w:p>
        </w:tc>
      </w:tr>
      <w:tr>
        <w:tc>
          <w:tcPr/>
          <w:p>
            <w:pPr>
              <w:pStyle w:val="Compact"/>
              <w:spacing w:after="0"/>
              <w:jc w:val="left"/>
            </w:pPr>
            <w:r>
              <w:rPr>
                <w:rFonts w:ascii="Times New Roman" w:hAnsi="Times New Roman"/>
                <w:sz w:val="18"/>
              </w:rPr>
              <w:t xml:space="preserve">Training</w:t>
            </w:r>
          </w:p>
        </w:tc>
        <w:tc>
          <w:tcPr/>
          <w:p>
            <w:pPr>
              <w:pStyle w:val="Compact"/>
              <w:spacing w:after="0"/>
              <w:jc w:val="left"/>
            </w:pPr>
            <w:r>
              <w:rPr>
                <w:rFonts w:ascii="Times New Roman" w:hAnsi="Times New Roman"/>
                <w:sz w:val="18"/>
              </w:rPr>
              <w:t xml:space="preserve">18,792</w:t>
            </w:r>
          </w:p>
        </w:tc>
        <w:tc>
          <w:tcPr/>
          <w:p>
            <w:pPr>
              <w:pStyle w:val="Compact"/>
              <w:spacing w:after="0"/>
              <w:jc w:val="left"/>
            </w:pPr>
            <w:r>
              <w:rPr>
                <w:rFonts w:ascii="Times New Roman" w:hAnsi="Times New Roman"/>
                <w:sz w:val="18"/>
              </w:rPr>
              <w:t xml:space="preserve">1,483 (7.89)</w:t>
            </w:r>
          </w:p>
        </w:tc>
        <w:tc>
          <w:tcPr/>
          <w:p>
            <w:pPr>
              <w:pStyle w:val="Compact"/>
              <w:spacing w:after="0"/>
              <w:jc w:val="left"/>
            </w:pPr>
            <w:r>
              <w:rPr>
                <w:rFonts w:ascii="Times New Roman" w:hAnsi="Times New Roman"/>
                <w:sz w:val="18"/>
              </w:rPr>
              <w:t xml:space="preserve">1,506 (8.01)</w:t>
            </w:r>
          </w:p>
        </w:tc>
        <w:tc>
          <w:tcPr/>
          <w:p>
            <w:pPr>
              <w:pStyle w:val="Compact"/>
              <w:spacing w:after="0"/>
              <w:jc w:val="left"/>
            </w:pPr>
            <w:r>
              <w:rPr>
                <w:rFonts w:ascii="Times New Roman" w:hAnsi="Times New Roman"/>
                <w:sz w:val="18"/>
              </w:rPr>
              <w:t xml:space="preserve">—</w:t>
            </w:r>
          </w:p>
        </w:tc>
      </w:tr>
      <w:tr>
        <w:tc>
          <w:tcPr/>
          <w:p>
            <w:pPr>
              <w:pStyle w:val="Compact"/>
              <w:spacing w:after="0"/>
              <w:jc w:val="left"/>
            </w:pPr>
            <w:r>
              <w:rPr>
                <w:rFonts w:ascii="Times New Roman" w:hAnsi="Times New Roman"/>
                <w:sz w:val="18"/>
              </w:rPr>
              <w:t xml:space="preserve">Test</w:t>
            </w:r>
          </w:p>
        </w:tc>
        <w:tc>
          <w:tcPr/>
          <w:p>
            <w:pPr>
              <w:pStyle w:val="Compact"/>
              <w:spacing w:after="0"/>
              <w:jc w:val="left"/>
            </w:pPr>
            <w:r>
              <w:rPr>
                <w:rFonts w:ascii="Times New Roman" w:hAnsi="Times New Roman"/>
                <w:sz w:val="18"/>
              </w:rPr>
              <w:t xml:space="preserve">4,698</w:t>
            </w:r>
          </w:p>
        </w:tc>
        <w:tc>
          <w:tcPr/>
          <w:p>
            <w:pPr>
              <w:pStyle w:val="Compact"/>
              <w:spacing w:after="0"/>
              <w:jc w:val="left"/>
            </w:pPr>
            <w:r>
              <w:rPr>
                <w:rFonts w:ascii="Times New Roman" w:hAnsi="Times New Roman"/>
                <w:sz w:val="18"/>
              </w:rPr>
              <w:t xml:space="preserve">371 (7.90)</w:t>
            </w:r>
          </w:p>
        </w:tc>
        <w:tc>
          <w:tcPr/>
          <w:p>
            <w:pPr>
              <w:pStyle w:val="Compact"/>
              <w:spacing w:after="0"/>
              <w:jc w:val="left"/>
            </w:pPr>
            <w:r>
              <w:rPr>
                <w:rFonts w:ascii="Times New Roman" w:hAnsi="Times New Roman"/>
                <w:sz w:val="18"/>
              </w:rPr>
              <w:t xml:space="preserve">375 (7.98)</w:t>
            </w:r>
          </w:p>
        </w:tc>
        <w:tc>
          <w:tcPr/>
          <w:p>
            <w:pPr>
              <w:pStyle w:val="Compact"/>
              <w:spacing w:after="0"/>
              <w:jc w:val="left"/>
            </w:pPr>
            <w:r>
              <w:rPr>
                <w:rFonts w:ascii="Times New Roman" w:hAnsi="Times New Roman"/>
                <w:sz w:val="18"/>
              </w:rPr>
              <w:t xml:space="preserve">11.88</w:t>
            </w:r>
          </w:p>
        </w:tc>
      </w:tr>
      <w:tr>
        <w:tc>
          <w:tcPr/>
          <w:p>
            <w:pPr>
              <w:pStyle w:val="Compact"/>
              <w:spacing w:after="0"/>
              <w:jc w:val="left"/>
            </w:pPr>
            <w:r>
              <w:rPr>
                <w:rFonts w:ascii="Times New Roman" w:hAnsi="Times New Roman"/>
                <w:sz w:val="18"/>
              </w:rPr>
              <w:t xml:space="preserve">Total</w:t>
            </w:r>
          </w:p>
        </w:tc>
        <w:tc>
          <w:tcPr/>
          <w:p>
            <w:pPr>
              <w:pStyle w:val="Compact"/>
              <w:spacing w:after="0"/>
              <w:jc w:val="left"/>
            </w:pPr>
            <w:r>
              <w:rPr>
                <w:rFonts w:ascii="Times New Roman" w:hAnsi="Times New Roman"/>
                <w:sz w:val="18"/>
              </w:rPr>
              <w:t xml:space="preserve">23,490</w:t>
            </w:r>
          </w:p>
        </w:tc>
        <w:tc>
          <w:tcPr/>
          <w:p>
            <w:pPr>
              <w:pStyle w:val="Compact"/>
              <w:spacing w:after="0"/>
              <w:jc w:val="left"/>
            </w:pPr>
            <w:r>
              <w:rPr>
                <w:rFonts w:ascii="Times New Roman" w:hAnsi="Times New Roman"/>
                <w:sz w:val="18"/>
              </w:rPr>
              <w:t xml:space="preserve">1,854 (7.89)</w:t>
            </w:r>
          </w:p>
        </w:tc>
        <w:tc>
          <w:tcPr/>
          <w:p>
            <w:pPr>
              <w:pStyle w:val="Compact"/>
              <w:spacing w:after="0"/>
              <w:jc w:val="left"/>
            </w:pPr>
            <w:r>
              <w:rPr>
                <w:rFonts w:ascii="Times New Roman" w:hAnsi="Times New Roman"/>
                <w:sz w:val="18"/>
              </w:rPr>
              <w:t xml:space="preserve">1,881 (8.01)</w:t>
            </w:r>
          </w:p>
        </w:tc>
        <w:tc>
          <w:tcPr/>
          <w:p>
            <w:pPr>
              <w:pStyle w:val="Compact"/>
              <w:spacing w:after="0"/>
              <w:jc w:val="left"/>
            </w:pPr>
            <w:r>
              <w:rPr>
                <w:rFonts w:ascii="Times New Roman" w:hAnsi="Times New Roman"/>
                <w:sz w:val="18"/>
              </w:rPr>
              <w:t xml:space="preserve">—</w:t>
            </w:r>
          </w:p>
        </w:tc>
      </w:tr>
    </w:tbl>
    <w:p>
      <w:pPr>
        <w:pStyle w:val="BodyText"/>
      </w:pPr>
      <w:r>
        <w:rPr>
          <w:bCs/>
          <w:b/>
        </w:rPr>
        <w:t xml:space="preserve">TABLE II — Missingness of booking predictors (whole cohort)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E7E6E6"/>
          </w:tcPr>
          <w:p>
            <w:pPr>
              <w:pStyle w:val="Compact"/>
              <w:spacing w:after="0"/>
              <w:jc w:val="left"/>
            </w:pPr>
            <w:r>
              <w:rPr>
                <w:rFonts w:ascii="Times New Roman" w:hAnsi="Times New Roman"/>
                <w:b/>
                <w:sz w:val="18"/>
              </w:rPr>
              <w:t xml:space="preserve">Predictor</w:t>
            </w:r>
          </w:p>
        </w:tc>
        <w:tc>
          <w:tcPr>
            <w:shd w:val="clear" w:color="auto" w:fill="E7E6E6"/>
          </w:tcPr>
          <w:p>
            <w:pPr>
              <w:pStyle w:val="Compact"/>
              <w:spacing w:after="0"/>
              <w:jc w:val="left"/>
            </w:pPr>
            <w:r>
              <w:rPr>
                <w:rFonts w:ascii="Times New Roman" w:hAnsi="Times New Roman"/>
                <w:b/>
                <w:sz w:val="18"/>
              </w:rPr>
              <w:t xml:space="preserve">Missing (%)</w:t>
            </w:r>
          </w:p>
        </w:tc>
        <w:tc>
          <w:tcPr>
            <w:shd w:val="clear" w:color="auto" w:fill="E7E6E6"/>
          </w:tcPr>
          <w:p>
            <w:pPr>
              <w:pStyle w:val="Compact"/>
              <w:spacing w:after="0"/>
              <w:jc w:val="left"/>
            </w:pPr>
            <w:r>
              <w:rPr>
                <w:rFonts w:ascii="Times New Roman" w:hAnsi="Times New Roman"/>
                <w:b/>
                <w:sz w:val="18"/>
              </w:rPr>
              <w:t xml:space="preserve">Handling</w:t>
            </w:r>
          </w:p>
        </w:tc>
      </w:tr>
      <w:tr>
        <w:tc>
          <w:tcPr/>
          <w:p>
            <w:pPr>
              <w:pStyle w:val="Compact"/>
              <w:spacing w:after="0"/>
              <w:jc w:val="left"/>
            </w:pPr>
            <w:r>
              <w:rPr>
                <w:rFonts w:ascii="Times New Roman" w:hAnsi="Times New Roman"/>
                <w:sz w:val="18"/>
              </w:rPr>
              <w:t xml:space="preserve">Diastolic blood pressure</w:t>
            </w:r>
          </w:p>
        </w:tc>
        <w:tc>
          <w:tcPr/>
          <w:p>
            <w:pPr>
              <w:pStyle w:val="Compact"/>
              <w:spacing w:after="0"/>
              <w:jc w:val="left"/>
            </w:pPr>
            <w:r>
              <w:rPr>
                <w:rFonts w:ascii="Times New Roman" w:hAnsi="Times New Roman"/>
                <w:sz w:val="18"/>
              </w:rPr>
              <w:t xml:space="preserve">65.3</w:t>
            </w:r>
          </w:p>
        </w:tc>
        <w:tc>
          <w:tcPr/>
          <w:p>
            <w:pPr>
              <w:pStyle w:val="Compact"/>
              <w:spacing w:after="0"/>
              <w:jc w:val="left"/>
            </w:pPr>
            <w:r>
              <w:rPr>
                <w:rFonts w:ascii="Times New Roman" w:hAnsi="Times New Roman"/>
                <w:sz w:val="18"/>
              </w:rPr>
              <w:t xml:space="preserve">median imputation + missingness flag</w:t>
            </w:r>
          </w:p>
        </w:tc>
      </w:tr>
      <w:tr>
        <w:tc>
          <w:tcPr/>
          <w:p>
            <w:pPr>
              <w:pStyle w:val="Compact"/>
              <w:spacing w:after="0"/>
              <w:jc w:val="left"/>
            </w:pPr>
            <w:r>
              <w:rPr>
                <w:rFonts w:ascii="Times New Roman" w:hAnsi="Times New Roman"/>
                <w:sz w:val="18"/>
              </w:rPr>
              <w:t xml:space="preserve">Systolic blood pressure</w:t>
            </w:r>
          </w:p>
        </w:tc>
        <w:tc>
          <w:tcPr/>
          <w:p>
            <w:pPr>
              <w:pStyle w:val="Compact"/>
              <w:spacing w:after="0"/>
              <w:jc w:val="left"/>
            </w:pPr>
            <w:r>
              <w:rPr>
                <w:rFonts w:ascii="Times New Roman" w:hAnsi="Times New Roman"/>
                <w:sz w:val="18"/>
              </w:rPr>
              <w:t xml:space="preserve">58.9</w:t>
            </w:r>
          </w:p>
        </w:tc>
        <w:tc>
          <w:tcPr/>
          <w:p>
            <w:pPr>
              <w:pStyle w:val="Compact"/>
              <w:spacing w:after="0"/>
              <w:jc w:val="left"/>
            </w:pPr>
            <w:r>
              <w:rPr>
                <w:rFonts w:ascii="Times New Roman" w:hAnsi="Times New Roman"/>
                <w:sz w:val="18"/>
              </w:rPr>
              <w:t xml:space="preserve">median imputation + missingness flag</w:t>
            </w:r>
          </w:p>
        </w:tc>
      </w:tr>
      <w:tr>
        <w:tc>
          <w:tcPr/>
          <w:p>
            <w:pPr>
              <w:pStyle w:val="Compact"/>
              <w:spacing w:after="0"/>
              <w:jc w:val="left"/>
            </w:pPr>
            <w:r>
              <w:rPr>
                <w:rFonts w:ascii="Times New Roman" w:hAnsi="Times New Roman"/>
                <w:sz w:val="18"/>
              </w:rPr>
              <w:t xml:space="preserve">Gestational age at booking</w:t>
            </w:r>
          </w:p>
        </w:tc>
        <w:tc>
          <w:tcPr/>
          <w:p>
            <w:pPr>
              <w:pStyle w:val="Compact"/>
              <w:spacing w:after="0"/>
              <w:jc w:val="left"/>
            </w:pPr>
            <w:r>
              <w:rPr>
                <w:rFonts w:ascii="Times New Roman" w:hAnsi="Times New Roman"/>
                <w:sz w:val="18"/>
              </w:rPr>
              <w:t xml:space="preserve">9.1</w:t>
            </w:r>
          </w:p>
        </w:tc>
        <w:tc>
          <w:tcPr/>
          <w:p>
            <w:pPr>
              <w:pStyle w:val="Compact"/>
              <w:spacing w:after="0"/>
              <w:jc w:val="left"/>
            </w:pPr>
            <w:r>
              <w:rPr>
                <w:rFonts w:ascii="Times New Roman" w:hAnsi="Times New Roman"/>
                <w:sz w:val="18"/>
              </w:rPr>
              <w:t xml:space="preserve">median imputation; out-of-range values set to missing</w:t>
            </w:r>
          </w:p>
        </w:tc>
      </w:tr>
      <w:tr>
        <w:tc>
          <w:tcPr/>
          <w:p>
            <w:pPr>
              <w:pStyle w:val="Compact"/>
              <w:spacing w:after="0"/>
              <w:jc w:val="left"/>
            </w:pPr>
            <w:r>
              <w:rPr>
                <w:rFonts w:ascii="Times New Roman" w:hAnsi="Times New Roman"/>
                <w:sz w:val="18"/>
              </w:rPr>
              <w:t xml:space="preserve">Age, BMI, gravidity, parity, previous caesarean sections, IMD rank, ethnicity</w:t>
            </w:r>
          </w:p>
        </w:tc>
        <w:tc>
          <w:tcPr/>
          <w:p>
            <w:pPr>
              <w:pStyle w:val="Compact"/>
              <w:spacing w:after="0"/>
              <w:jc w:val="left"/>
            </w:pPr>
            <w:r>
              <w:rPr>
                <w:rFonts w:ascii="Times New Roman" w:hAnsi="Times New Roman"/>
                <w:sz w:val="18"/>
              </w:rPr>
              <w:t xml:space="preserve">&lt; 1</w:t>
            </w:r>
          </w:p>
        </w:tc>
        <w:tc>
          <w:tcPr/>
          <w:p>
            <w:pPr>
              <w:pStyle w:val="Compact"/>
              <w:spacing w:after="0"/>
              <w:jc w:val="left"/>
            </w:pPr>
            <w:r>
              <w:rPr>
                <w:rFonts w:ascii="Times New Roman" w:hAnsi="Times New Roman"/>
                <w:sz w:val="18"/>
              </w:rPr>
              <w:t xml:space="preserve">median imputation (numeric); one-hot encoding (ethnicity)</w:t>
            </w:r>
          </w:p>
        </w:tc>
      </w:tr>
    </w:tbl>
    <w:bookmarkEnd w:id="41"/>
    <w:bookmarkStart w:id="42" w:name="b.-acouslic-ai-blind-sweep-ultrasound"/>
    <w:p>
      <w:pPr>
        <w:pStyle w:val="Heading3"/>
      </w:pPr>
      <w:r>
        <w:t xml:space="preserve">B. ACOUSLIC-AI Blind-Sweep Ultrasound</w:t>
      </w:r>
    </w:p>
    <w:p>
      <w:pPr>
        <w:pStyle w:val="FirstParagraph"/>
      </w:pPr>
      <w:r>
        <w:t xml:space="preserve">ACOUSLIC-AI v1.1 [18], [19] provides 300 training cases from 281 subjects. Each case is one stacked volume of six blind sweeps × 140 frames, giving 840 frames of 744 × 562 pixels at 0.28 mm/pixel. Frame masks mark the fetal abdomen in optimal (label 1) and suboptimal (label 2) planes.</w:t>
      </w:r>
    </w:p>
    <w:p>
      <w:pPr>
        <w:pStyle w:val="BodyText"/>
      </w:pPr>
      <w:r>
        <w:t xml:space="preserve">The circumference file gives an expert reference AC for 553 sweeps (1–6 per case; median 229.5 mm, range 140.9–350.6 mm). AC accuracy is evaluated only on cases not used to train the segmentation model. Cases from any subject who also appears in training are excluded (Section V-F). [Authors: state the train/validation/test case counts of the final model here.]</w:t>
      </w:r>
    </w:p>
    <w:bookmarkEnd w:id="42"/>
    <w:bookmarkStart w:id="43" w:name="X8f284aad3e8dd1e280d89eac75be7e7ce26a00a"/>
    <w:p>
      <w:pPr>
        <w:pStyle w:val="Heading3"/>
      </w:pPr>
      <w:r>
        <w:t xml:space="preserve">C. Synthetic Longitudinal Pregnancy Cohort</w:t>
      </w:r>
    </w:p>
    <w:p>
      <w:pPr>
        <w:pStyle w:val="FirstParagraph"/>
      </w:pPr>
      <w:r>
        <w:t xml:space="preserve">The maternal cohort has a single measurement per woman, so Neural ODE dynamics cannot be learned from it. To test the method itself, the synthetic low-risk pregnancy dataset of Pinto et al. [39] is used: 5,000 synthetic women with up to eight antenatal visits and 162 variables. The task is to forecast maternal weight at withheld third-trimester visits from first- and second-trimester visits, with 4,000 women for training and 1,000 for testing.</w:t>
      </w:r>
    </w:p>
    <w:p>
      <w:pPr>
        <w:pStyle w:val="BodyText"/>
      </w:pPr>
      <w:r>
        <w:rPr>
          <w:bCs/>
          <w:b/>
        </w:rPr>
        <w:t xml:space="preserve">TABLE III — Summary of datasets and their role</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E7E6E6"/>
          </w:tcPr>
          <w:p>
            <w:pPr>
              <w:pStyle w:val="Compact"/>
              <w:spacing w:after="0"/>
              <w:jc w:val="left"/>
            </w:pPr>
            <w:r>
              <w:rPr>
                <w:rFonts w:ascii="Times New Roman" w:hAnsi="Times New Roman"/>
                <w:b/>
                <w:sz w:val="18"/>
              </w:rPr>
              <w:t xml:space="preserve">Property</w:t>
            </w:r>
          </w:p>
        </w:tc>
        <w:tc>
          <w:tcPr>
            <w:shd w:val="clear" w:color="auto" w:fill="E7E6E6"/>
          </w:tcPr>
          <w:p>
            <w:pPr>
              <w:pStyle w:val="Compact"/>
              <w:spacing w:after="0"/>
              <w:jc w:val="left"/>
            </w:pPr>
            <w:r>
              <w:rPr>
                <w:rFonts w:ascii="Times New Roman" w:hAnsi="Times New Roman"/>
                <w:b/>
                <w:sz w:val="18"/>
              </w:rPr>
              <w:t xml:space="preserve">St Mary’s GDM Dataset</w:t>
            </w:r>
          </w:p>
        </w:tc>
        <w:tc>
          <w:tcPr>
            <w:shd w:val="clear" w:color="auto" w:fill="E7E6E6"/>
          </w:tcPr>
          <w:p>
            <w:pPr>
              <w:pStyle w:val="Compact"/>
              <w:spacing w:after="0"/>
              <w:jc w:val="left"/>
            </w:pPr>
            <w:r>
              <w:rPr>
                <w:rFonts w:ascii="Times New Roman" w:hAnsi="Times New Roman"/>
                <w:b/>
                <w:sz w:val="18"/>
              </w:rPr>
              <w:t xml:space="preserve">ACOUSLIC-AI v1.1</w:t>
            </w:r>
          </w:p>
        </w:tc>
        <w:tc>
          <w:tcPr>
            <w:shd w:val="clear" w:color="auto" w:fill="E7E6E6"/>
          </w:tcPr>
          <w:p>
            <w:pPr>
              <w:pStyle w:val="Compact"/>
              <w:spacing w:after="0"/>
              <w:jc w:val="left"/>
            </w:pPr>
            <w:r>
              <w:rPr>
                <w:rFonts w:ascii="Times New Roman" w:hAnsi="Times New Roman"/>
                <w:b/>
                <w:sz w:val="18"/>
              </w:rPr>
              <w:t xml:space="preserve">Synthetic pregnancy cohort</w:t>
            </w:r>
          </w:p>
        </w:tc>
      </w:tr>
      <w:tr>
        <w:tc>
          <w:tcPr/>
          <w:p>
            <w:pPr>
              <w:pStyle w:val="Compact"/>
              <w:spacing w:after="0"/>
              <w:jc w:val="left"/>
            </w:pPr>
            <w:r>
              <w:rPr>
                <w:rFonts w:ascii="Times New Roman" w:hAnsi="Times New Roman"/>
                <w:sz w:val="18"/>
              </w:rPr>
              <w:t xml:space="preserve">Type</w:t>
            </w:r>
          </w:p>
        </w:tc>
        <w:tc>
          <w:tcPr/>
          <w:p>
            <w:pPr>
              <w:pStyle w:val="Compact"/>
              <w:spacing w:after="0"/>
              <w:jc w:val="left"/>
            </w:pPr>
            <w:r>
              <w:rPr>
                <w:rFonts w:ascii="Times New Roman" w:hAnsi="Times New Roman"/>
                <w:sz w:val="18"/>
              </w:rPr>
              <w:t xml:space="preserve">Real EHR, tabular</w:t>
            </w:r>
          </w:p>
        </w:tc>
        <w:tc>
          <w:tcPr/>
          <w:p>
            <w:pPr>
              <w:pStyle w:val="Compact"/>
              <w:spacing w:after="0"/>
              <w:jc w:val="left"/>
            </w:pPr>
            <w:r>
              <w:rPr>
                <w:rFonts w:ascii="Times New Roman" w:hAnsi="Times New Roman"/>
                <w:sz w:val="18"/>
              </w:rPr>
              <w:t xml:space="preserve">Real ultrasound sweeps</w:t>
            </w:r>
          </w:p>
        </w:tc>
        <w:tc>
          <w:tcPr/>
          <w:p>
            <w:pPr>
              <w:pStyle w:val="Compact"/>
              <w:spacing w:after="0"/>
              <w:jc w:val="left"/>
            </w:pPr>
            <w:r>
              <w:rPr>
                <w:rFonts w:ascii="Times New Roman" w:hAnsi="Times New Roman"/>
                <w:sz w:val="18"/>
              </w:rPr>
              <w:t xml:space="preserve">Synthetic, longitudinal</w:t>
            </w:r>
          </w:p>
        </w:tc>
      </w:tr>
      <w:tr>
        <w:tc>
          <w:tcPr/>
          <w:p>
            <w:pPr>
              <w:pStyle w:val="Compact"/>
              <w:spacing w:after="0"/>
              <w:jc w:val="left"/>
            </w:pPr>
            <w:r>
              <w:rPr>
                <w:rFonts w:ascii="Times New Roman" w:hAnsi="Times New Roman"/>
                <w:sz w:val="18"/>
              </w:rPr>
              <w:t xml:space="preserve">Size</w:t>
            </w:r>
          </w:p>
        </w:tc>
        <w:tc>
          <w:tcPr/>
          <w:p>
            <w:pPr>
              <w:pStyle w:val="Compact"/>
              <w:spacing w:after="0"/>
              <w:jc w:val="left"/>
            </w:pPr>
            <w:r>
              <w:rPr>
                <w:rFonts w:ascii="Times New Roman" w:hAnsi="Times New Roman"/>
                <w:sz w:val="18"/>
              </w:rPr>
              <w:t xml:space="preserve">23,490 women</w:t>
            </w:r>
          </w:p>
        </w:tc>
        <w:tc>
          <w:tcPr/>
          <w:p>
            <w:pPr>
              <w:pStyle w:val="Compact"/>
              <w:spacing w:after="0"/>
              <w:jc w:val="left"/>
            </w:pPr>
            <w:r>
              <w:rPr>
                <w:rFonts w:ascii="Times New Roman" w:hAnsi="Times New Roman"/>
                <w:sz w:val="18"/>
              </w:rPr>
              <w:t xml:space="preserve">300 cases, 281 subjects</w:t>
            </w:r>
          </w:p>
        </w:tc>
        <w:tc>
          <w:tcPr/>
          <w:p>
            <w:pPr>
              <w:pStyle w:val="Compact"/>
              <w:spacing w:after="0"/>
              <w:jc w:val="left"/>
            </w:pPr>
            <w:r>
              <w:rPr>
                <w:rFonts w:ascii="Times New Roman" w:hAnsi="Times New Roman"/>
                <w:sz w:val="18"/>
              </w:rPr>
              <w:t xml:space="preserve">5,000 women</w:t>
            </w:r>
          </w:p>
        </w:tc>
      </w:tr>
      <w:tr>
        <w:tc>
          <w:tcPr/>
          <w:p>
            <w:pPr>
              <w:pStyle w:val="Compact"/>
              <w:spacing w:after="0"/>
              <w:jc w:val="left"/>
            </w:pPr>
            <w:r>
              <w:rPr>
                <w:rFonts w:ascii="Times New Roman" w:hAnsi="Times New Roman"/>
                <w:sz w:val="18"/>
              </w:rPr>
              <w:t xml:space="preserve">Used for</w:t>
            </w:r>
          </w:p>
        </w:tc>
        <w:tc>
          <w:tcPr/>
          <w:p>
            <w:pPr>
              <w:pStyle w:val="Compact"/>
              <w:spacing w:after="0"/>
              <w:jc w:val="left"/>
            </w:pPr>
            <w:r>
              <w:rPr>
                <w:rFonts w:ascii="Times New Roman" w:hAnsi="Times New Roman"/>
                <w:sz w:val="18"/>
              </w:rPr>
              <w:t xml:space="preserve">GDM and macrosomia booking models; CTGAN; Neural ODE glucose audit</w:t>
            </w:r>
          </w:p>
        </w:tc>
        <w:tc>
          <w:tcPr/>
          <w:p>
            <w:pPr>
              <w:pStyle w:val="Compact"/>
              <w:spacing w:after="0"/>
              <w:jc w:val="left"/>
            </w:pPr>
            <w:r>
              <w:rPr>
                <w:rFonts w:ascii="Times New Roman" w:hAnsi="Times New Roman"/>
                <w:sz w:val="18"/>
              </w:rPr>
              <w:t xml:space="preserve">AC segmentation and agreement</w:t>
            </w:r>
          </w:p>
        </w:tc>
        <w:tc>
          <w:tcPr/>
          <w:p>
            <w:pPr>
              <w:pStyle w:val="Compact"/>
              <w:spacing w:after="0"/>
              <w:jc w:val="left"/>
            </w:pPr>
            <w:r>
              <w:rPr>
                <w:rFonts w:ascii="Times New Roman" w:hAnsi="Times New Roman"/>
                <w:sz w:val="18"/>
              </w:rPr>
              <w:t xml:space="preserve">Neural ODE method benchmark</w:t>
            </w:r>
          </w:p>
        </w:tc>
      </w:tr>
      <w:tr>
        <w:tc>
          <w:tcPr/>
          <w:p>
            <w:pPr>
              <w:pStyle w:val="Compact"/>
              <w:spacing w:after="0"/>
              <w:jc w:val="left"/>
            </w:pPr>
            <w:r>
              <w:rPr>
                <w:rFonts w:ascii="Times New Roman" w:hAnsi="Times New Roman"/>
                <w:sz w:val="18"/>
              </w:rPr>
              <w:t xml:space="preserve">Outcome or label</w:t>
            </w:r>
          </w:p>
        </w:tc>
        <w:tc>
          <w:tcPr/>
          <w:p>
            <w:pPr>
              <w:pStyle w:val="Compact"/>
              <w:spacing w:after="0"/>
              <w:jc w:val="left"/>
            </w:pPr>
            <w:r>
              <w:rPr>
                <w:rFonts w:ascii="Times New Roman" w:hAnsi="Times New Roman"/>
                <w:sz w:val="18"/>
              </w:rPr>
              <w:t xml:space="preserve">GDM; birthweight ≥ 4000 g</w:t>
            </w:r>
          </w:p>
        </w:tc>
        <w:tc>
          <w:tcPr/>
          <w:p>
            <w:pPr>
              <w:pStyle w:val="Compact"/>
              <w:spacing w:after="0"/>
              <w:jc w:val="left"/>
            </w:pPr>
            <w:r>
              <w:rPr>
                <w:rFonts w:ascii="Times New Roman" w:hAnsi="Times New Roman"/>
                <w:sz w:val="18"/>
              </w:rPr>
              <w:t xml:space="preserve">Abdomen mask; reference AC (mm)</w:t>
            </w:r>
          </w:p>
        </w:tc>
        <w:tc>
          <w:tcPr/>
          <w:p>
            <w:pPr>
              <w:pStyle w:val="Compact"/>
              <w:spacing w:after="0"/>
              <w:jc w:val="left"/>
            </w:pPr>
            <w:r>
              <w:rPr>
                <w:rFonts w:ascii="Times New Roman" w:hAnsi="Times New Roman"/>
                <w:sz w:val="18"/>
              </w:rPr>
              <w:t xml:space="preserve">Weight at later visits (kg)</w:t>
            </w:r>
          </w:p>
        </w:tc>
      </w:tr>
      <w:tr>
        <w:tc>
          <w:tcPr/>
          <w:p>
            <w:pPr>
              <w:pStyle w:val="Compact"/>
              <w:spacing w:after="0"/>
              <w:jc w:val="left"/>
            </w:pPr>
            <w:r>
              <w:rPr>
                <w:rFonts w:ascii="Times New Roman" w:hAnsi="Times New Roman"/>
                <w:sz w:val="18"/>
              </w:rPr>
              <w:t xml:space="preserve">Access</w:t>
            </w:r>
          </w:p>
        </w:tc>
        <w:tc>
          <w:tcPr/>
          <w:p>
            <w:pPr>
              <w:pStyle w:val="Compact"/>
              <w:spacing w:after="0"/>
              <w:jc w:val="left"/>
            </w:pPr>
            <w:r>
              <w:rPr>
                <w:rFonts w:ascii="Times New Roman" w:hAnsi="Times New Roman"/>
                <w:sz w:val="18"/>
              </w:rPr>
              <w:t xml:space="preserve">Figshare [41]</w:t>
            </w:r>
          </w:p>
        </w:tc>
        <w:tc>
          <w:tcPr/>
          <w:p>
            <w:pPr>
              <w:pStyle w:val="Compact"/>
              <w:spacing w:after="0"/>
              <w:jc w:val="left"/>
            </w:pPr>
            <w:r>
              <w:rPr>
                <w:rFonts w:ascii="Times New Roman" w:hAnsi="Times New Roman"/>
                <w:sz w:val="18"/>
              </w:rPr>
              <w:t xml:space="preserve">Zenodo [19]</w:t>
            </w:r>
          </w:p>
        </w:tc>
        <w:tc>
          <w:tcPr/>
          <w:p>
            <w:pPr>
              <w:pStyle w:val="Compact"/>
              <w:spacing w:after="0"/>
              <w:jc w:val="left"/>
            </w:pPr>
            <w:r>
              <w:rPr>
                <w:rFonts w:ascii="Times New Roman" w:hAnsi="Times New Roman"/>
                <w:sz w:val="18"/>
              </w:rPr>
              <w:t xml:space="preserve">Zenodo [39]</w:t>
            </w:r>
          </w:p>
        </w:tc>
      </w:tr>
    </w:tbl>
    <w:p>
      <w:pPr>
        <w:pStyle w:val="BodyText"/>
      </w:pPr>
      <w:r>
        <w:t xml:space="preserve">The maternal and ultrasound datasets come from different populations and cannot be linked at patient level. This is why MDT-GEN validates each module separately and computes no learned fusion score.</w:t>
      </w:r>
    </w:p>
    <w:bookmarkEnd w:id="43"/>
    <w:bookmarkEnd w:id="44"/>
    <w:bookmarkStart w:id="55" w:name="v.-experiments-and-results"/>
    <w:p>
      <w:pPr>
        <w:pStyle w:val="Heading2"/>
      </w:pPr>
      <w:r>
        <w:t xml:space="preserve">V. Experiments and Results</w:t>
      </w:r>
    </w:p>
    <w:p>
      <w:pPr>
        <w:pStyle w:val="FirstParagraph"/>
      </w:pPr>
      <w:r>
        <w:t xml:space="preserve">Both booking models are well calibrated on 4,698 held-out women. GDM discrimination is moderate (AUROC 0.71); macrosomia discrimination is modest (AUROC 0.64). The Neural ODE’s glucose curve fails its held-out check.</w:t>
      </w:r>
    </w:p>
    <w:bookmarkStart w:id="45" w:name="a.-experimental-setup"/>
    <w:p>
      <w:pPr>
        <w:pStyle w:val="Heading3"/>
      </w:pPr>
      <w:r>
        <w:t xml:space="preserve">A. Experimental Setup</w:t>
      </w:r>
    </w:p>
    <w:p>
      <w:pPr>
        <w:pStyle w:val="FirstParagraph"/>
      </w:pPr>
      <w:r>
        <w:t xml:space="preserve">All booking-model experiments use the fixed split in Section IV-A. Thresholds and the meta-learner are fitted on out-of-fold training predictions, and the test set is scored once. Confidence intervals (CIs) come from 1,000 bootstrap resamples of the test set. Table IV lists the configuration. The code is in</w:t>
      </w:r>
      <w:r>
        <w:t xml:space="preserve"> </w:t>
      </w:r>
      <w:r>
        <w:rPr>
          <w:rStyle w:val="VerbatimChar"/>
        </w:rPr>
        <w:t xml:space="preserve">models/train_validated_booking_models.py</w:t>
      </w:r>
      <w:r>
        <w:t xml:space="preserve">.</w:t>
      </w:r>
    </w:p>
    <w:p>
      <w:pPr>
        <w:pStyle w:val="BodyText"/>
      </w:pPr>
      <w:r>
        <w:rPr>
          <w:bCs/>
          <w:b/>
        </w:rPr>
        <w:t xml:space="preserve">TABLE IV — Configuration of the booking models</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rPr>
        <w:tc>
          <w:tcPr>
            <w:shd w:val="clear" w:color="auto" w:fill="E7E6E6"/>
          </w:tcPr>
          <w:p>
            <w:pPr>
              <w:pStyle w:val="Compact"/>
              <w:spacing w:after="0"/>
              <w:jc w:val="left"/>
            </w:pPr>
            <w:r>
              <w:rPr>
                <w:rFonts w:ascii="Times New Roman" w:hAnsi="Times New Roman"/>
                <w:b/>
                <w:sz w:val="18"/>
              </w:rPr>
              <w:t xml:space="preserve">Item</w:t>
            </w:r>
          </w:p>
        </w:tc>
        <w:tc>
          <w:tcPr>
            <w:shd w:val="clear" w:color="auto" w:fill="E7E6E6"/>
          </w:tcPr>
          <w:p>
            <w:pPr>
              <w:pStyle w:val="Compact"/>
              <w:spacing w:after="0"/>
              <w:jc w:val="left"/>
            </w:pPr>
            <w:r>
              <w:rPr>
                <w:rFonts w:ascii="Times New Roman" w:hAnsi="Times New Roman"/>
                <w:b/>
                <w:sz w:val="18"/>
              </w:rPr>
              <w:t xml:space="preserve">Setting</w:t>
            </w:r>
          </w:p>
        </w:tc>
      </w:tr>
      <w:tr>
        <w:tc>
          <w:tcPr/>
          <w:p>
            <w:pPr>
              <w:pStyle w:val="Compact"/>
              <w:spacing w:after="0"/>
              <w:jc w:val="left"/>
            </w:pPr>
            <w:r>
              <w:rPr>
                <w:rFonts w:ascii="Times New Roman" w:hAnsi="Times New Roman"/>
                <w:sz w:val="18"/>
              </w:rPr>
              <w:t xml:space="preserve">Logistic regression</w:t>
            </w:r>
          </w:p>
        </w:tc>
        <w:tc>
          <w:tcPr/>
          <w:p>
            <w:pPr>
              <w:pStyle w:val="Compact"/>
              <w:spacing w:after="0"/>
              <w:jc w:val="left"/>
            </w:pPr>
            <w:r>
              <w:rPr>
                <w:rFonts w:ascii="Times New Roman" w:hAnsi="Times New Roman"/>
                <w:sz w:val="18"/>
              </w:rPr>
              <w:t xml:space="preserve">L2, max 2,000 iterations, no class weights</w:t>
            </w:r>
          </w:p>
        </w:tc>
      </w:tr>
      <w:tr>
        <w:tc>
          <w:tcPr/>
          <w:p>
            <w:pPr>
              <w:pStyle w:val="Compact"/>
              <w:spacing w:after="0"/>
              <w:jc w:val="left"/>
            </w:pPr>
            <w:r>
              <w:rPr>
                <w:rFonts w:ascii="Times New Roman" w:hAnsi="Times New Roman"/>
                <w:sz w:val="18"/>
              </w:rPr>
              <w:t xml:space="preserve">Random forest</w:t>
            </w:r>
          </w:p>
        </w:tc>
        <w:tc>
          <w:tcPr/>
          <w:p>
            <w:pPr>
              <w:pStyle w:val="Compact"/>
              <w:spacing w:after="0"/>
              <w:jc w:val="left"/>
            </w:pPr>
            <w:r>
              <w:rPr>
                <w:rFonts w:ascii="Times New Roman" w:hAnsi="Times New Roman"/>
                <w:sz w:val="18"/>
              </w:rPr>
              <w:t xml:space="preserve">300 trees, depth 8, min. 20 samples per leaf</w:t>
            </w:r>
          </w:p>
        </w:tc>
      </w:tr>
      <w:tr>
        <w:tc>
          <w:tcPr/>
          <w:p>
            <w:pPr>
              <w:pStyle w:val="Compact"/>
              <w:spacing w:after="0"/>
              <w:jc w:val="left"/>
            </w:pPr>
            <w:r>
              <w:rPr>
                <w:rFonts w:ascii="Times New Roman" w:hAnsi="Times New Roman"/>
                <w:sz w:val="18"/>
              </w:rPr>
              <w:t xml:space="preserve">XGBoost</w:t>
            </w:r>
          </w:p>
        </w:tc>
        <w:tc>
          <w:tcPr/>
          <w:p>
            <w:pPr>
              <w:pStyle w:val="Compact"/>
              <w:spacing w:after="0"/>
              <w:jc w:val="left"/>
            </w:pPr>
            <w:r>
              <w:rPr>
                <w:rFonts w:ascii="Times New Roman" w:hAnsi="Times New Roman"/>
                <w:sz w:val="18"/>
              </w:rPr>
              <w:t xml:space="preserve">300 trees, depth 3, learning rate 0.03, subsample 0.8, column sample 0.8</w:t>
            </w:r>
          </w:p>
        </w:tc>
      </w:tr>
      <w:tr>
        <w:tc>
          <w:tcPr/>
          <w:p>
            <w:pPr>
              <w:pStyle w:val="Compact"/>
              <w:spacing w:after="0"/>
              <w:jc w:val="left"/>
            </w:pPr>
            <w:r>
              <w:rPr>
                <w:rFonts w:ascii="Times New Roman" w:hAnsi="Times New Roman"/>
                <w:sz w:val="18"/>
              </w:rPr>
              <w:t xml:space="preserve">CatBoost</w:t>
            </w:r>
          </w:p>
        </w:tc>
        <w:tc>
          <w:tcPr/>
          <w:p>
            <w:pPr>
              <w:pStyle w:val="Compact"/>
              <w:spacing w:after="0"/>
              <w:jc w:val="left"/>
            </w:pPr>
            <w:r>
              <w:rPr>
                <w:rFonts w:ascii="Times New Roman" w:hAnsi="Times New Roman"/>
                <w:sz w:val="18"/>
              </w:rPr>
              <w:t xml:space="preserve">400 iterations, depth 4, learning rate 0.03</w:t>
            </w:r>
          </w:p>
        </w:tc>
      </w:tr>
      <w:tr>
        <w:tc>
          <w:tcPr/>
          <w:p>
            <w:pPr>
              <w:pStyle w:val="Compact"/>
              <w:spacing w:after="0"/>
              <w:jc w:val="left"/>
            </w:pPr>
            <w:r>
              <w:rPr>
                <w:rFonts w:ascii="Times New Roman" w:hAnsi="Times New Roman"/>
                <w:sz w:val="18"/>
              </w:rPr>
              <w:t xml:space="preserve">Stacking</w:t>
            </w:r>
          </w:p>
        </w:tc>
        <w:tc>
          <w:tcPr/>
          <w:p>
            <w:pPr>
              <w:pStyle w:val="Compact"/>
              <w:spacing w:after="0"/>
              <w:jc w:val="left"/>
            </w:pPr>
            <w:r>
              <w:rPr>
                <w:rFonts w:ascii="Times New Roman" w:hAnsi="Times New Roman"/>
                <w:sz w:val="18"/>
              </w:rPr>
              <w:t xml:space="preserve">5-fold stratified OOF probabilities → logistic meta-learner</w:t>
            </w:r>
          </w:p>
        </w:tc>
      </w:tr>
      <w:tr>
        <w:tc>
          <w:tcPr/>
          <w:p>
            <w:pPr>
              <w:pStyle w:val="Compact"/>
              <w:spacing w:after="0"/>
              <w:jc w:val="left"/>
            </w:pPr>
            <w:r>
              <w:rPr>
                <w:rFonts w:ascii="Times New Roman" w:hAnsi="Times New Roman"/>
                <w:sz w:val="18"/>
              </w:rPr>
              <w:t xml:space="preserve">Decision threshold</w:t>
            </w:r>
          </w:p>
        </w:tc>
        <w:tc>
          <w:tcPr/>
          <w:p>
            <w:pPr>
              <w:pStyle w:val="Compact"/>
              <w:spacing w:after="0"/>
              <w:jc w:val="left"/>
            </w:pPr>
            <w:r>
              <w:rPr>
                <w:rFonts w:ascii="Times New Roman" w:hAnsi="Times New Roman"/>
                <w:sz w:val="18"/>
              </w:rPr>
              <w:t xml:space="preserve">80th percentile of OOF stacked risk (top 20% flagged)</w:t>
            </w:r>
          </w:p>
        </w:tc>
      </w:tr>
      <w:tr>
        <w:tc>
          <w:tcPr/>
          <w:p>
            <w:pPr>
              <w:pStyle w:val="Compact"/>
              <w:spacing w:after="0"/>
              <w:jc w:val="left"/>
            </w:pPr>
            <w:r>
              <w:rPr>
                <w:rFonts w:ascii="Times New Roman" w:hAnsi="Times New Roman"/>
                <w:sz w:val="18"/>
              </w:rPr>
              <w:t xml:space="preserve">Uncertainty</w:t>
            </w:r>
          </w:p>
        </w:tc>
        <w:tc>
          <w:tcPr/>
          <w:p>
            <w:pPr>
              <w:pStyle w:val="Compact"/>
              <w:spacing w:after="0"/>
              <w:jc w:val="left"/>
            </w:pPr>
            <w:r>
              <w:rPr>
                <w:rFonts w:ascii="Times New Roman" w:hAnsi="Times New Roman"/>
                <w:sz w:val="18"/>
              </w:rPr>
              <w:t xml:space="preserve">1,000 bootstrap resamples; seed 42</w:t>
            </w:r>
          </w:p>
        </w:tc>
      </w:tr>
      <w:tr>
        <w:tc>
          <w:tcPr/>
          <w:p>
            <w:pPr>
              <w:pStyle w:val="Compact"/>
              <w:spacing w:after="0"/>
              <w:jc w:val="left"/>
            </w:pPr>
            <w:r>
              <w:rPr>
                <w:rFonts w:ascii="Times New Roman" w:hAnsi="Times New Roman"/>
                <w:sz w:val="18"/>
              </w:rPr>
              <w:t xml:space="preserve">Software</w:t>
            </w:r>
          </w:p>
        </w:tc>
        <w:tc>
          <w:tcPr/>
          <w:p>
            <w:pPr>
              <w:pStyle w:val="Compact"/>
              <w:spacing w:after="0"/>
              <w:jc w:val="left"/>
            </w:pPr>
            <w:r>
              <w:rPr>
                <w:rFonts w:ascii="Times New Roman" w:hAnsi="Times New Roman"/>
                <w:sz w:val="18"/>
              </w:rPr>
              <w:t xml:space="preserve">Python 3.13, scikit-learn 1.7.2, XGBoost 3.4.1, CatBoost 1.2.10</w:t>
            </w:r>
          </w:p>
        </w:tc>
      </w:tr>
    </w:tbl>
    <w:bookmarkEnd w:id="45"/>
    <w:bookmarkStart w:id="46" w:name="b.-gdm-prediction-at-booking"/>
    <w:p>
      <w:pPr>
        <w:pStyle w:val="Heading3"/>
      </w:pPr>
      <w:r>
        <w:t xml:space="preserve">B. GDM Prediction at Booking</w:t>
      </w:r>
    </w:p>
    <w:p>
      <w:pPr>
        <w:pStyle w:val="FirstParagraph"/>
      </w:pPr>
      <w:r>
        <w:t xml:space="preserve">Table V shows held-out performance. All five models are calibrated (intercept ≈ 0, slope 0.91–1.26). The stacking ensemble reaches an AUROC of 0.712 (95% CI 0.684–0.739) and an AUPRC of 0.166, against a prevalence of 0.079. Plain logistic regression performs as well, with an AUROC of 0.714.</w:t>
      </w:r>
    </w:p>
    <w:p>
      <w:pPr>
        <w:pStyle w:val="BodyText"/>
      </w:pPr>
      <w:r>
        <w:rPr>
          <w:bCs/>
          <w:b/>
        </w:rPr>
        <w:t xml:space="preserve">TABLE V — GDM: held-out performance (n = 4,698; 371 GDM)</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90"/>
        <w:gridCol w:w="990"/>
        <w:gridCol w:w="990"/>
        <w:gridCol w:w="990"/>
        <w:gridCol w:w="990"/>
        <w:gridCol w:w="990"/>
        <w:gridCol w:w="990"/>
        <w:gridCol w:w="990"/>
      </w:tblGrid>
      <w:tr>
        <w:trPr>
          <w:tblHeader w:val="true"/>
        </w:trPr>
        <w:tc>
          <w:tcPr>
            <w:shd w:val="clear" w:color="auto" w:fill="E7E6E6"/>
          </w:tcPr>
          <w:p>
            <w:pPr>
              <w:pStyle w:val="Compact"/>
              <w:spacing w:after="0"/>
              <w:jc w:val="left"/>
            </w:pPr>
            <w:r>
              <w:rPr>
                <w:rFonts w:ascii="Times New Roman" w:hAnsi="Times New Roman"/>
                <w:b/>
                <w:sz w:val="18"/>
              </w:rPr>
              <w:t xml:space="preserve">Model</w:t>
            </w:r>
          </w:p>
        </w:tc>
        <w:tc>
          <w:tcPr>
            <w:shd w:val="clear" w:color="auto" w:fill="E7E6E6"/>
          </w:tcPr>
          <w:p>
            <w:pPr>
              <w:pStyle w:val="Compact"/>
              <w:spacing w:after="0"/>
              <w:jc w:val="left"/>
            </w:pPr>
            <w:r>
              <w:rPr>
                <w:rFonts w:ascii="Times New Roman" w:hAnsi="Times New Roman"/>
                <w:b/>
                <w:sz w:val="18"/>
              </w:rPr>
              <w:t xml:space="preserve">AUROC (95% CI)</w:t>
            </w:r>
          </w:p>
        </w:tc>
        <w:tc>
          <w:tcPr>
            <w:shd w:val="clear" w:color="auto" w:fill="E7E6E6"/>
          </w:tcPr>
          <w:p>
            <w:pPr>
              <w:pStyle w:val="Compact"/>
              <w:spacing w:after="0"/>
              <w:jc w:val="left"/>
            </w:pPr>
            <w:r>
              <w:rPr>
                <w:rFonts w:ascii="Times New Roman" w:hAnsi="Times New Roman"/>
                <w:b/>
                <w:sz w:val="18"/>
              </w:rPr>
              <w:t xml:space="preserve">AUPRC (95% CI)</w:t>
            </w:r>
          </w:p>
        </w:tc>
        <w:tc>
          <w:tcPr>
            <w:shd w:val="clear" w:color="auto" w:fill="E7E6E6"/>
          </w:tcPr>
          <w:p>
            <w:pPr>
              <w:pStyle w:val="Compact"/>
              <w:spacing w:after="0"/>
              <w:jc w:val="left"/>
            </w:pPr>
            <w:r>
              <w:rPr>
                <w:rFonts w:ascii="Times New Roman" w:hAnsi="Times New Roman"/>
                <w:b/>
                <w:sz w:val="18"/>
              </w:rPr>
              <w:t xml:space="preserve">Brier</w:t>
            </w:r>
          </w:p>
        </w:tc>
        <w:tc>
          <w:tcPr>
            <w:shd w:val="clear" w:color="auto" w:fill="E7E6E6"/>
          </w:tcPr>
          <w:p>
            <w:pPr>
              <w:pStyle w:val="Compact"/>
              <w:spacing w:after="0"/>
              <w:jc w:val="left"/>
            </w:pPr>
            <w:r>
              <w:rPr>
                <w:rFonts w:ascii="Times New Roman" w:hAnsi="Times New Roman"/>
                <w:b/>
                <w:sz w:val="18"/>
              </w:rPr>
              <w:t xml:space="preserve">Scaled Brier</w:t>
            </w:r>
          </w:p>
        </w:tc>
        <w:tc>
          <w:tcPr>
            <w:shd w:val="clear" w:color="auto" w:fill="E7E6E6"/>
          </w:tcPr>
          <w:p>
            <w:pPr>
              <w:pStyle w:val="Compact"/>
              <w:spacing w:after="0"/>
              <w:jc w:val="left"/>
            </w:pPr>
            <w:r>
              <w:rPr>
                <w:rFonts w:ascii="Times New Roman" w:hAnsi="Times New Roman"/>
                <w:b/>
                <w:sz w:val="18"/>
              </w:rPr>
              <w:t xml:space="preserve">Cal. intercept</w:t>
            </w:r>
          </w:p>
        </w:tc>
        <w:tc>
          <w:tcPr>
            <w:shd w:val="clear" w:color="auto" w:fill="E7E6E6"/>
          </w:tcPr>
          <w:p>
            <w:pPr>
              <w:pStyle w:val="Compact"/>
              <w:spacing w:after="0"/>
              <w:jc w:val="left"/>
            </w:pPr>
            <w:r>
              <w:rPr>
                <w:rFonts w:ascii="Times New Roman" w:hAnsi="Times New Roman"/>
                <w:b/>
                <w:sz w:val="18"/>
              </w:rPr>
              <w:t xml:space="preserve">Cal. slope</w:t>
            </w:r>
          </w:p>
        </w:tc>
        <w:tc>
          <w:tcPr>
            <w:shd w:val="clear" w:color="auto" w:fill="E7E6E6"/>
          </w:tcPr>
          <w:p>
            <w:pPr>
              <w:pStyle w:val="Compact"/>
              <w:spacing w:after="0"/>
              <w:jc w:val="left"/>
            </w:pPr>
            <w:r>
              <w:rPr>
                <w:rFonts w:ascii="Times New Roman" w:hAnsi="Times New Roman"/>
                <w:b/>
                <w:sz w:val="18"/>
              </w:rPr>
              <w:t xml:space="preserve">OOF AUROC</w:t>
            </w:r>
          </w:p>
        </w:tc>
      </w:tr>
      <w:tr>
        <w:tc>
          <w:tcPr/>
          <w:p>
            <w:pPr>
              <w:pStyle w:val="Compact"/>
              <w:spacing w:after="0"/>
              <w:jc w:val="left"/>
            </w:pPr>
            <w:r>
              <w:rPr>
                <w:rFonts w:ascii="Times New Roman" w:hAnsi="Times New Roman"/>
                <w:sz w:val="18"/>
              </w:rPr>
              <w:t xml:space="preserve">Logistic regression</w:t>
            </w:r>
          </w:p>
        </w:tc>
        <w:tc>
          <w:tcPr/>
          <w:p>
            <w:pPr>
              <w:pStyle w:val="Compact"/>
              <w:spacing w:after="0"/>
              <w:jc w:val="left"/>
            </w:pPr>
            <w:r>
              <w:rPr>
                <w:rFonts w:ascii="Times New Roman" w:hAnsi="Times New Roman"/>
                <w:sz w:val="18"/>
              </w:rPr>
              <w:t xml:space="preserve">0.714 (0.686–0.742)</w:t>
            </w:r>
          </w:p>
        </w:tc>
        <w:tc>
          <w:tcPr/>
          <w:p>
            <w:pPr>
              <w:pStyle w:val="Compact"/>
              <w:spacing w:after="0"/>
              <w:jc w:val="left"/>
            </w:pPr>
            <w:r>
              <w:rPr>
                <w:rFonts w:ascii="Times New Roman" w:hAnsi="Times New Roman"/>
                <w:sz w:val="18"/>
              </w:rPr>
              <w:t xml:space="preserve">0.171 (0.146–0.204)</w:t>
            </w:r>
          </w:p>
        </w:tc>
        <w:tc>
          <w:tcPr/>
          <w:p>
            <w:pPr>
              <w:pStyle w:val="Compact"/>
              <w:spacing w:after="0"/>
              <w:jc w:val="left"/>
            </w:pPr>
            <w:r>
              <w:rPr>
                <w:rFonts w:ascii="Times New Roman" w:hAnsi="Times New Roman"/>
                <w:sz w:val="18"/>
              </w:rPr>
              <w:t xml:space="preserve">0.070</w:t>
            </w:r>
          </w:p>
        </w:tc>
        <w:tc>
          <w:tcPr/>
          <w:p>
            <w:pPr>
              <w:pStyle w:val="Compact"/>
              <w:spacing w:after="0"/>
              <w:jc w:val="left"/>
            </w:pPr>
            <w:r>
              <w:rPr>
                <w:rFonts w:ascii="Times New Roman" w:hAnsi="Times New Roman"/>
                <w:sz w:val="18"/>
              </w:rPr>
              <w:t xml:space="preserve">0.042</w:t>
            </w:r>
          </w:p>
        </w:tc>
        <w:tc>
          <w:tcPr/>
          <w:p>
            <w:pPr>
              <w:pStyle w:val="Compact"/>
              <w:spacing w:after="0"/>
              <w:jc w:val="left"/>
            </w:pPr>
            <w:r>
              <w:rPr>
                <w:rFonts w:ascii="Times New Roman" w:hAnsi="Times New Roman"/>
                <w:sz w:val="18"/>
              </w:rPr>
              <w:t xml:space="preserve">0.00</w:t>
            </w:r>
          </w:p>
        </w:tc>
        <w:tc>
          <w:tcPr/>
          <w:p>
            <w:pPr>
              <w:pStyle w:val="Compact"/>
              <w:spacing w:after="0"/>
              <w:jc w:val="left"/>
            </w:pPr>
            <w:r>
              <w:rPr>
                <w:rFonts w:ascii="Times New Roman" w:hAnsi="Times New Roman"/>
                <w:sz w:val="18"/>
              </w:rPr>
              <w:t xml:space="preserve">0.93</w:t>
            </w:r>
          </w:p>
        </w:tc>
        <w:tc>
          <w:tcPr/>
          <w:p>
            <w:pPr>
              <w:pStyle w:val="Compact"/>
              <w:spacing w:after="0"/>
              <w:jc w:val="left"/>
            </w:pPr>
            <w:r>
              <w:rPr>
                <w:rFonts w:ascii="Times New Roman" w:hAnsi="Times New Roman"/>
                <w:sz w:val="18"/>
              </w:rPr>
              <w:t xml:space="preserve">0.719</w:t>
            </w:r>
          </w:p>
        </w:tc>
      </w:tr>
      <w:tr>
        <w:tc>
          <w:tcPr/>
          <w:p>
            <w:pPr>
              <w:pStyle w:val="Compact"/>
              <w:spacing w:after="0"/>
              <w:jc w:val="left"/>
            </w:pPr>
            <w:r>
              <w:rPr>
                <w:rFonts w:ascii="Times New Roman" w:hAnsi="Times New Roman"/>
                <w:sz w:val="18"/>
              </w:rPr>
              <w:t xml:space="preserve">Random forest</w:t>
            </w:r>
          </w:p>
        </w:tc>
        <w:tc>
          <w:tcPr/>
          <w:p>
            <w:pPr>
              <w:pStyle w:val="Compact"/>
              <w:spacing w:after="0"/>
              <w:jc w:val="left"/>
            </w:pPr>
            <w:r>
              <w:rPr>
                <w:rFonts w:ascii="Times New Roman" w:hAnsi="Times New Roman"/>
                <w:sz w:val="18"/>
              </w:rPr>
              <w:t xml:space="preserve">0.700 (0.673–0.726)</w:t>
            </w:r>
          </w:p>
        </w:tc>
        <w:tc>
          <w:tcPr/>
          <w:p>
            <w:pPr>
              <w:pStyle w:val="Compact"/>
              <w:spacing w:after="0"/>
              <w:jc w:val="left"/>
            </w:pPr>
            <w:r>
              <w:rPr>
                <w:rFonts w:ascii="Times New Roman" w:hAnsi="Times New Roman"/>
                <w:sz w:val="18"/>
              </w:rPr>
              <w:t xml:space="preserve">0.158 (0.133–0.189)</w:t>
            </w:r>
          </w:p>
        </w:tc>
        <w:tc>
          <w:tcPr/>
          <w:p>
            <w:pPr>
              <w:pStyle w:val="Compact"/>
              <w:spacing w:after="0"/>
              <w:jc w:val="left"/>
            </w:pPr>
            <w:r>
              <w:rPr>
                <w:rFonts w:ascii="Times New Roman" w:hAnsi="Times New Roman"/>
                <w:sz w:val="18"/>
              </w:rPr>
              <w:t xml:space="preserve">0.070</w:t>
            </w:r>
          </w:p>
        </w:tc>
        <w:tc>
          <w:tcPr/>
          <w:p>
            <w:pPr>
              <w:pStyle w:val="Compact"/>
              <w:spacing w:after="0"/>
              <w:jc w:val="left"/>
            </w:pPr>
            <w:r>
              <w:rPr>
                <w:rFonts w:ascii="Times New Roman" w:hAnsi="Times New Roman"/>
                <w:sz w:val="18"/>
              </w:rPr>
              <w:t xml:space="preserve">0.035</w:t>
            </w:r>
          </w:p>
        </w:tc>
        <w:tc>
          <w:tcPr/>
          <w:p>
            <w:pPr>
              <w:pStyle w:val="Compact"/>
              <w:spacing w:after="0"/>
              <w:jc w:val="left"/>
            </w:pPr>
            <w:r>
              <w:rPr>
                <w:rFonts w:ascii="Times New Roman" w:hAnsi="Times New Roman"/>
                <w:sz w:val="18"/>
              </w:rPr>
              <w:t xml:space="preserve">0.00</w:t>
            </w:r>
          </w:p>
        </w:tc>
        <w:tc>
          <w:tcPr/>
          <w:p>
            <w:pPr>
              <w:pStyle w:val="Compact"/>
              <w:spacing w:after="0"/>
              <w:jc w:val="left"/>
            </w:pPr>
            <w:r>
              <w:rPr>
                <w:rFonts w:ascii="Times New Roman" w:hAnsi="Times New Roman"/>
                <w:sz w:val="18"/>
              </w:rPr>
              <w:t xml:space="preserve">1.26</w:t>
            </w:r>
          </w:p>
        </w:tc>
        <w:tc>
          <w:tcPr/>
          <w:p>
            <w:pPr>
              <w:pStyle w:val="Compact"/>
              <w:spacing w:after="0"/>
              <w:jc w:val="left"/>
            </w:pPr>
            <w:r>
              <w:rPr>
                <w:rFonts w:ascii="Times New Roman" w:hAnsi="Times New Roman"/>
                <w:sz w:val="18"/>
              </w:rPr>
              <w:t xml:space="preserve">0.708</w:t>
            </w:r>
          </w:p>
        </w:tc>
      </w:tr>
      <w:tr>
        <w:tc>
          <w:tcPr/>
          <w:p>
            <w:pPr>
              <w:pStyle w:val="Compact"/>
              <w:spacing w:after="0"/>
              <w:jc w:val="left"/>
            </w:pPr>
            <w:r>
              <w:rPr>
                <w:rFonts w:ascii="Times New Roman" w:hAnsi="Times New Roman"/>
                <w:sz w:val="18"/>
              </w:rPr>
              <w:t xml:space="preserve">XGBoost</w:t>
            </w:r>
          </w:p>
        </w:tc>
        <w:tc>
          <w:tcPr/>
          <w:p>
            <w:pPr>
              <w:pStyle w:val="Compact"/>
              <w:spacing w:after="0"/>
              <w:jc w:val="left"/>
            </w:pPr>
            <w:r>
              <w:rPr>
                <w:rFonts w:ascii="Times New Roman" w:hAnsi="Times New Roman"/>
                <w:sz w:val="18"/>
              </w:rPr>
              <w:t xml:space="preserve">0.704 (0.678–0.730)</w:t>
            </w:r>
          </w:p>
        </w:tc>
        <w:tc>
          <w:tcPr/>
          <w:p>
            <w:pPr>
              <w:pStyle w:val="Compact"/>
              <w:spacing w:after="0"/>
              <w:jc w:val="left"/>
            </w:pPr>
            <w:r>
              <w:rPr>
                <w:rFonts w:ascii="Times New Roman" w:hAnsi="Times New Roman"/>
                <w:sz w:val="18"/>
              </w:rPr>
              <w:t xml:space="preserve">0.156 (0.133–0.185)</w:t>
            </w:r>
          </w:p>
        </w:tc>
        <w:tc>
          <w:tcPr/>
          <w:p>
            <w:pPr>
              <w:pStyle w:val="Compact"/>
              <w:spacing w:after="0"/>
              <w:jc w:val="left"/>
            </w:pPr>
            <w:r>
              <w:rPr>
                <w:rFonts w:ascii="Times New Roman" w:hAnsi="Times New Roman"/>
                <w:sz w:val="18"/>
              </w:rPr>
              <w:t xml:space="preserve">0.070</w:t>
            </w:r>
          </w:p>
        </w:tc>
        <w:tc>
          <w:tcPr/>
          <w:p>
            <w:pPr>
              <w:pStyle w:val="Compact"/>
              <w:spacing w:after="0"/>
              <w:jc w:val="left"/>
            </w:pPr>
            <w:r>
              <w:rPr>
                <w:rFonts w:ascii="Times New Roman" w:hAnsi="Times New Roman"/>
                <w:sz w:val="18"/>
              </w:rPr>
              <w:t xml:space="preserve">0.035</w:t>
            </w:r>
          </w:p>
        </w:tc>
        <w:tc>
          <w:tcPr/>
          <w:p>
            <w:pPr>
              <w:pStyle w:val="Compact"/>
              <w:spacing w:after="0"/>
              <w:jc w:val="left"/>
            </w:pPr>
            <w:r>
              <w:rPr>
                <w:rFonts w:ascii="Times New Roman" w:hAnsi="Times New Roman"/>
                <w:sz w:val="18"/>
              </w:rPr>
              <w:t xml:space="preserve">0.01</w:t>
            </w:r>
          </w:p>
        </w:tc>
        <w:tc>
          <w:tcPr/>
          <w:p>
            <w:pPr>
              <w:pStyle w:val="Compact"/>
              <w:spacing w:after="0"/>
              <w:jc w:val="left"/>
            </w:pPr>
            <w:r>
              <w:rPr>
                <w:rFonts w:ascii="Times New Roman" w:hAnsi="Times New Roman"/>
                <w:sz w:val="18"/>
              </w:rPr>
              <w:t xml:space="preserve">0.91</w:t>
            </w:r>
          </w:p>
        </w:tc>
        <w:tc>
          <w:tcPr/>
          <w:p>
            <w:pPr>
              <w:pStyle w:val="Compact"/>
              <w:spacing w:after="0"/>
              <w:jc w:val="left"/>
            </w:pPr>
            <w:r>
              <w:rPr>
                <w:rFonts w:ascii="Times New Roman" w:hAnsi="Times New Roman"/>
                <w:sz w:val="18"/>
              </w:rPr>
              <w:t xml:space="preserve">0.714</w:t>
            </w:r>
          </w:p>
        </w:tc>
      </w:tr>
      <w:tr>
        <w:tc>
          <w:tcPr/>
          <w:p>
            <w:pPr>
              <w:pStyle w:val="Compact"/>
              <w:spacing w:after="0"/>
              <w:jc w:val="left"/>
            </w:pPr>
            <w:r>
              <w:rPr>
                <w:rFonts w:ascii="Times New Roman" w:hAnsi="Times New Roman"/>
                <w:sz w:val="18"/>
              </w:rPr>
              <w:t xml:space="preserve">CatBoost</w:t>
            </w:r>
          </w:p>
        </w:tc>
        <w:tc>
          <w:tcPr/>
          <w:p>
            <w:pPr>
              <w:pStyle w:val="Compact"/>
              <w:spacing w:after="0"/>
              <w:jc w:val="left"/>
            </w:pPr>
            <w:r>
              <w:rPr>
                <w:rFonts w:ascii="Times New Roman" w:hAnsi="Times New Roman"/>
                <w:sz w:val="18"/>
              </w:rPr>
              <w:t xml:space="preserve">0.709 (0.682–0.736)</w:t>
            </w:r>
          </w:p>
        </w:tc>
        <w:tc>
          <w:tcPr/>
          <w:p>
            <w:pPr>
              <w:pStyle w:val="Compact"/>
              <w:spacing w:after="0"/>
              <w:jc w:val="left"/>
            </w:pPr>
            <w:r>
              <w:rPr>
                <w:rFonts w:ascii="Times New Roman" w:hAnsi="Times New Roman"/>
                <w:sz w:val="18"/>
              </w:rPr>
              <w:t xml:space="preserve">0.165 (0.139–0.197)</w:t>
            </w:r>
          </w:p>
        </w:tc>
        <w:tc>
          <w:tcPr/>
          <w:p>
            <w:pPr>
              <w:pStyle w:val="Compact"/>
              <w:spacing w:after="0"/>
              <w:jc w:val="left"/>
            </w:pPr>
            <w:r>
              <w:rPr>
                <w:rFonts w:ascii="Times New Roman" w:hAnsi="Times New Roman"/>
                <w:sz w:val="18"/>
              </w:rPr>
              <w:t xml:space="preserve">0.070</w:t>
            </w:r>
          </w:p>
        </w:tc>
        <w:tc>
          <w:tcPr/>
          <w:p>
            <w:pPr>
              <w:pStyle w:val="Compact"/>
              <w:spacing w:after="0"/>
              <w:jc w:val="left"/>
            </w:pPr>
            <w:r>
              <w:rPr>
                <w:rFonts w:ascii="Times New Roman" w:hAnsi="Times New Roman"/>
                <w:sz w:val="18"/>
              </w:rPr>
              <w:t xml:space="preserve">0.039</w:t>
            </w:r>
          </w:p>
        </w:tc>
        <w:tc>
          <w:tcPr/>
          <w:p>
            <w:pPr>
              <w:pStyle w:val="Compact"/>
              <w:spacing w:after="0"/>
              <w:jc w:val="left"/>
            </w:pPr>
            <w:r>
              <w:rPr>
                <w:rFonts w:ascii="Times New Roman" w:hAnsi="Times New Roman"/>
                <w:sz w:val="18"/>
              </w:rPr>
              <w:t xml:space="preserve">0.01</w:t>
            </w:r>
          </w:p>
        </w:tc>
        <w:tc>
          <w:tcPr/>
          <w:p>
            <w:pPr>
              <w:pStyle w:val="Compact"/>
              <w:spacing w:after="0"/>
              <w:jc w:val="left"/>
            </w:pPr>
            <w:r>
              <w:rPr>
                <w:rFonts w:ascii="Times New Roman" w:hAnsi="Times New Roman"/>
                <w:sz w:val="18"/>
              </w:rPr>
              <w:t xml:space="preserve">0.99</w:t>
            </w:r>
          </w:p>
        </w:tc>
        <w:tc>
          <w:tcPr/>
          <w:p>
            <w:pPr>
              <w:pStyle w:val="Compact"/>
              <w:spacing w:after="0"/>
              <w:jc w:val="left"/>
            </w:pPr>
            <w:r>
              <w:rPr>
                <w:rFonts w:ascii="Times New Roman" w:hAnsi="Times New Roman"/>
                <w:sz w:val="18"/>
              </w:rPr>
              <w:t xml:space="preserve">0.717</w:t>
            </w:r>
          </w:p>
        </w:tc>
      </w:tr>
      <w:tr>
        <w:tc>
          <w:tcPr/>
          <w:p>
            <w:pPr>
              <w:pStyle w:val="Compact"/>
              <w:spacing w:after="0"/>
              <w:jc w:val="left"/>
            </w:pPr>
            <w:r>
              <w:rPr>
                <w:bCs/>
                <w:rFonts w:ascii="Times New Roman" w:hAnsi="Times New Roman"/>
                <w:b/>
                <w:sz w:val="18"/>
              </w:rPr>
              <w:t xml:space="preserve">Stacking ensemble</w:t>
            </w:r>
          </w:p>
        </w:tc>
        <w:tc>
          <w:tcPr/>
          <w:p>
            <w:pPr>
              <w:pStyle w:val="Compact"/>
              <w:spacing w:after="0"/>
              <w:jc w:val="left"/>
            </w:pPr>
            <w:r>
              <w:rPr>
                <w:bCs/>
                <w:rFonts w:ascii="Times New Roman" w:hAnsi="Times New Roman"/>
                <w:b/>
                <w:sz w:val="18"/>
              </w:rPr>
              <w:t xml:space="preserve">0.712 (0.684–0.739)</w:t>
            </w:r>
          </w:p>
        </w:tc>
        <w:tc>
          <w:tcPr/>
          <w:p>
            <w:pPr>
              <w:pStyle w:val="Compact"/>
              <w:spacing w:after="0"/>
              <w:jc w:val="left"/>
            </w:pPr>
            <w:r>
              <w:rPr>
                <w:bCs/>
                <w:rFonts w:ascii="Times New Roman" w:hAnsi="Times New Roman"/>
                <w:b/>
                <w:sz w:val="18"/>
              </w:rPr>
              <w:t xml:space="preserve">0.166 (0.142–0.199)</w:t>
            </w:r>
          </w:p>
        </w:tc>
        <w:tc>
          <w:tcPr/>
          <w:p>
            <w:pPr>
              <w:pStyle w:val="Compact"/>
              <w:spacing w:after="0"/>
              <w:jc w:val="left"/>
            </w:pPr>
            <w:r>
              <w:rPr>
                <w:bCs/>
                <w:rFonts w:ascii="Times New Roman" w:hAnsi="Times New Roman"/>
                <w:b/>
                <w:sz w:val="18"/>
              </w:rPr>
              <w:t xml:space="preserve">0.071</w:t>
            </w:r>
          </w:p>
        </w:tc>
        <w:tc>
          <w:tcPr/>
          <w:p>
            <w:pPr>
              <w:pStyle w:val="Compact"/>
              <w:spacing w:after="0"/>
              <w:jc w:val="left"/>
            </w:pPr>
            <w:r>
              <w:rPr>
                <w:bCs/>
                <w:rFonts w:ascii="Times New Roman" w:hAnsi="Times New Roman"/>
                <w:b/>
                <w:sz w:val="18"/>
              </w:rPr>
              <w:t xml:space="preserve">0.030</w:t>
            </w:r>
          </w:p>
        </w:tc>
        <w:tc>
          <w:tcPr/>
          <w:p>
            <w:pPr>
              <w:pStyle w:val="Compact"/>
              <w:spacing w:after="0"/>
              <w:jc w:val="left"/>
            </w:pPr>
            <w:r>
              <w:rPr>
                <w:bCs/>
                <w:rFonts w:ascii="Times New Roman" w:hAnsi="Times New Roman"/>
                <w:b/>
                <w:sz w:val="18"/>
              </w:rPr>
              <w:t xml:space="preserve">0.00</w:t>
            </w:r>
          </w:p>
        </w:tc>
        <w:tc>
          <w:tcPr/>
          <w:p>
            <w:pPr>
              <w:pStyle w:val="Compact"/>
              <w:spacing w:after="0"/>
              <w:jc w:val="left"/>
            </w:pPr>
            <w:r>
              <w:rPr>
                <w:bCs/>
                <w:rFonts w:ascii="Times New Roman" w:hAnsi="Times New Roman"/>
                <w:b/>
                <w:sz w:val="18"/>
              </w:rPr>
              <w:t xml:space="preserve">0.96</w:t>
            </w:r>
          </w:p>
        </w:tc>
        <w:tc>
          <w:tcPr/>
          <w:p>
            <w:pPr>
              <w:pStyle w:val="Compact"/>
              <w:spacing w:after="0"/>
              <w:jc w:val="left"/>
            </w:pPr>
            <w:r>
              <w:rPr>
                <w:bCs/>
                <w:rFonts w:ascii="Times New Roman" w:hAnsi="Times New Roman"/>
                <w:b/>
                <w:sz w:val="18"/>
              </w:rPr>
              <w:t xml:space="preserve">0.719</w:t>
            </w:r>
          </w:p>
        </w:tc>
      </w:tr>
    </w:tbl>
    <w:p>
      <w:pPr>
        <w:pStyle w:val="BodyText"/>
      </w:pPr>
      <w:r>
        <w:t xml:space="preserve">At the top-20% threshold (τ = 0.096), the model flags 20.2% of women. It detects 42.6% of GDM cases with a specificity of 81.8%, a PPV of 16.7% (about twice the base rate of 7.9%) and an NPV of 94.3%. At the Youden threshold (τ = 0.063), sensitivity is 73.6% and specificity 59.6%.</w:t>
      </w:r>
    </w:p>
    <w:p>
      <w:pPr>
        <w:pStyle w:val="BodyText"/>
      </w:pPr>
      <w:r>
        <w:t xml:space="preserve">The decision curve shows net benefit above both</w:t>
      </w:r>
      <w:r>
        <w:t xml:space="preserve"> </w:t>
      </w:r>
      <w:r>
        <w:t xml:space="preserve">“</w:t>
      </w:r>
      <w:r>
        <w:t xml:space="preserve">test all</w:t>
      </w:r>
      <w:r>
        <w:t xml:space="preserve">”</w:t>
      </w:r>
      <w:r>
        <w:t xml:space="preserve"> </w:t>
      </w:r>
      <w:r>
        <w:t xml:space="preserve">and</w:t>
      </w:r>
      <w:r>
        <w:t xml:space="preserve"> </w:t>
      </w:r>
      <w:r>
        <w:t xml:space="preserve">“</w:t>
      </w:r>
      <w:r>
        <w:t xml:space="preserve">test none</w:t>
      </w:r>
      <w:r>
        <w:t xml:space="preserve">”</w:t>
      </w:r>
      <w:r>
        <w:t xml:space="preserve"> </w:t>
      </w:r>
      <w:r>
        <w:t xml:space="preserve">for threshold probabilities between about 4% and 18%. In women booked at ≤ 12 weeks (n = 3,195), performance is unchanged: AUROC 0.712 (0.682–0.740) and Brier score 0.075.</w:t>
      </w:r>
    </w:p>
    <w:bookmarkEnd w:id="46"/>
    <w:bookmarkStart w:id="47" w:name="c.-macrosomia-prediction-at-booking"/>
    <w:p>
      <w:pPr>
        <w:pStyle w:val="Heading3"/>
      </w:pPr>
      <w:r>
        <w:t xml:space="preserve">C. Macrosomia Prediction at Booking</w:t>
      </w:r>
    </w:p>
    <w:p>
      <w:pPr>
        <w:pStyle w:val="FirstParagraph"/>
      </w:pPr>
      <w:r>
        <w:t xml:space="preserve">Table VI shows that booking data predict birthweight ≥ 4000 g only modestly. The stacking AUROC is 0.640 (0.611–0.668) and the AUPRC is 0.125, against a prevalence of 0.080. Calibration-in-the-large is exact (mean predicted 8.0% vs 8.0% observed).</w:t>
      </w:r>
    </w:p>
    <w:p>
      <w:pPr>
        <w:pStyle w:val="BodyText"/>
      </w:pPr>
      <w:r>
        <w:rPr>
          <w:bCs/>
          <w:b/>
        </w:rPr>
        <w:t xml:space="preserve">TABLE VI — Macrosomia (birthweight ≥ 4000 g): held-out performance (n = 4,698; 375 cases)</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90"/>
        <w:gridCol w:w="990"/>
        <w:gridCol w:w="990"/>
        <w:gridCol w:w="990"/>
        <w:gridCol w:w="990"/>
        <w:gridCol w:w="990"/>
        <w:gridCol w:w="990"/>
        <w:gridCol w:w="990"/>
      </w:tblGrid>
      <w:tr>
        <w:trPr>
          <w:tblHeader w:val="true"/>
        </w:trPr>
        <w:tc>
          <w:tcPr>
            <w:shd w:val="clear" w:color="auto" w:fill="E7E6E6"/>
          </w:tcPr>
          <w:p>
            <w:pPr>
              <w:pStyle w:val="Compact"/>
              <w:spacing w:after="0"/>
              <w:jc w:val="left"/>
            </w:pPr>
            <w:r>
              <w:rPr>
                <w:rFonts w:ascii="Times New Roman" w:hAnsi="Times New Roman"/>
                <w:b/>
                <w:sz w:val="18"/>
              </w:rPr>
              <w:t xml:space="preserve">Model</w:t>
            </w:r>
          </w:p>
        </w:tc>
        <w:tc>
          <w:tcPr>
            <w:shd w:val="clear" w:color="auto" w:fill="E7E6E6"/>
          </w:tcPr>
          <w:p>
            <w:pPr>
              <w:pStyle w:val="Compact"/>
              <w:spacing w:after="0"/>
              <w:jc w:val="left"/>
            </w:pPr>
            <w:r>
              <w:rPr>
                <w:rFonts w:ascii="Times New Roman" w:hAnsi="Times New Roman"/>
                <w:b/>
                <w:sz w:val="18"/>
              </w:rPr>
              <w:t xml:space="preserve">AUROC (95% CI)</w:t>
            </w:r>
          </w:p>
        </w:tc>
        <w:tc>
          <w:tcPr>
            <w:shd w:val="clear" w:color="auto" w:fill="E7E6E6"/>
          </w:tcPr>
          <w:p>
            <w:pPr>
              <w:pStyle w:val="Compact"/>
              <w:spacing w:after="0"/>
              <w:jc w:val="left"/>
            </w:pPr>
            <w:r>
              <w:rPr>
                <w:rFonts w:ascii="Times New Roman" w:hAnsi="Times New Roman"/>
                <w:b/>
                <w:sz w:val="18"/>
              </w:rPr>
              <w:t xml:space="preserve">AUPRC (95% CI)</w:t>
            </w:r>
          </w:p>
        </w:tc>
        <w:tc>
          <w:tcPr>
            <w:shd w:val="clear" w:color="auto" w:fill="E7E6E6"/>
          </w:tcPr>
          <w:p>
            <w:pPr>
              <w:pStyle w:val="Compact"/>
              <w:spacing w:after="0"/>
              <w:jc w:val="left"/>
            </w:pPr>
            <w:r>
              <w:rPr>
                <w:rFonts w:ascii="Times New Roman" w:hAnsi="Times New Roman"/>
                <w:b/>
                <w:sz w:val="18"/>
              </w:rPr>
              <w:t xml:space="preserve">Brier</w:t>
            </w:r>
          </w:p>
        </w:tc>
        <w:tc>
          <w:tcPr>
            <w:shd w:val="clear" w:color="auto" w:fill="E7E6E6"/>
          </w:tcPr>
          <w:p>
            <w:pPr>
              <w:pStyle w:val="Compact"/>
              <w:spacing w:after="0"/>
              <w:jc w:val="left"/>
            </w:pPr>
            <w:r>
              <w:rPr>
                <w:rFonts w:ascii="Times New Roman" w:hAnsi="Times New Roman"/>
                <w:b/>
                <w:sz w:val="18"/>
              </w:rPr>
              <w:t xml:space="preserve">Scaled Brier</w:t>
            </w:r>
          </w:p>
        </w:tc>
        <w:tc>
          <w:tcPr>
            <w:shd w:val="clear" w:color="auto" w:fill="E7E6E6"/>
          </w:tcPr>
          <w:p>
            <w:pPr>
              <w:pStyle w:val="Compact"/>
              <w:spacing w:after="0"/>
              <w:jc w:val="left"/>
            </w:pPr>
            <w:r>
              <w:rPr>
                <w:rFonts w:ascii="Times New Roman" w:hAnsi="Times New Roman"/>
                <w:b/>
                <w:sz w:val="18"/>
              </w:rPr>
              <w:t xml:space="preserve">Cal. intercept</w:t>
            </w:r>
          </w:p>
        </w:tc>
        <w:tc>
          <w:tcPr>
            <w:shd w:val="clear" w:color="auto" w:fill="E7E6E6"/>
          </w:tcPr>
          <w:p>
            <w:pPr>
              <w:pStyle w:val="Compact"/>
              <w:spacing w:after="0"/>
              <w:jc w:val="left"/>
            </w:pPr>
            <w:r>
              <w:rPr>
                <w:rFonts w:ascii="Times New Roman" w:hAnsi="Times New Roman"/>
                <w:b/>
                <w:sz w:val="18"/>
              </w:rPr>
              <w:t xml:space="preserve">Cal. slope</w:t>
            </w:r>
          </w:p>
        </w:tc>
        <w:tc>
          <w:tcPr>
            <w:shd w:val="clear" w:color="auto" w:fill="E7E6E6"/>
          </w:tcPr>
          <w:p>
            <w:pPr>
              <w:pStyle w:val="Compact"/>
              <w:spacing w:after="0"/>
              <w:jc w:val="left"/>
            </w:pPr>
            <w:r>
              <w:rPr>
                <w:rFonts w:ascii="Times New Roman" w:hAnsi="Times New Roman"/>
                <w:b/>
                <w:sz w:val="18"/>
              </w:rPr>
              <w:t xml:space="preserve">OOF AUROC</w:t>
            </w:r>
          </w:p>
        </w:tc>
      </w:tr>
      <w:tr>
        <w:tc>
          <w:tcPr/>
          <w:p>
            <w:pPr>
              <w:pStyle w:val="Compact"/>
              <w:spacing w:after="0"/>
              <w:jc w:val="left"/>
            </w:pPr>
            <w:r>
              <w:rPr>
                <w:rFonts w:ascii="Times New Roman" w:hAnsi="Times New Roman"/>
                <w:sz w:val="18"/>
              </w:rPr>
              <w:t xml:space="preserve">Logistic regression</w:t>
            </w:r>
          </w:p>
        </w:tc>
        <w:tc>
          <w:tcPr/>
          <w:p>
            <w:pPr>
              <w:pStyle w:val="Compact"/>
              <w:spacing w:after="0"/>
              <w:jc w:val="left"/>
            </w:pPr>
            <w:r>
              <w:rPr>
                <w:rFonts w:ascii="Times New Roman" w:hAnsi="Times New Roman"/>
                <w:sz w:val="18"/>
              </w:rPr>
              <w:t xml:space="preserve">0.629 (0.602–0.657)</w:t>
            </w:r>
          </w:p>
        </w:tc>
        <w:tc>
          <w:tcPr/>
          <w:p>
            <w:pPr>
              <w:pStyle w:val="Compact"/>
              <w:spacing w:after="0"/>
              <w:jc w:val="left"/>
            </w:pPr>
            <w:r>
              <w:rPr>
                <w:rFonts w:ascii="Times New Roman" w:hAnsi="Times New Roman"/>
                <w:sz w:val="18"/>
              </w:rPr>
              <w:t xml:space="preserve">0.122 (0.106–0.147)</w:t>
            </w:r>
          </w:p>
        </w:tc>
        <w:tc>
          <w:tcPr/>
          <w:p>
            <w:pPr>
              <w:pStyle w:val="Compact"/>
              <w:spacing w:after="0"/>
              <w:jc w:val="left"/>
            </w:pPr>
            <w:r>
              <w:rPr>
                <w:rFonts w:ascii="Times New Roman" w:hAnsi="Times New Roman"/>
                <w:sz w:val="18"/>
              </w:rPr>
              <w:t xml:space="preserve">0.072</w:t>
            </w:r>
          </w:p>
        </w:tc>
        <w:tc>
          <w:tcPr/>
          <w:p>
            <w:pPr>
              <w:pStyle w:val="Compact"/>
              <w:spacing w:after="0"/>
              <w:jc w:val="left"/>
            </w:pPr>
            <w:r>
              <w:rPr>
                <w:rFonts w:ascii="Times New Roman" w:hAnsi="Times New Roman"/>
                <w:sz w:val="18"/>
              </w:rPr>
              <w:t xml:space="preserve">0.015</w:t>
            </w:r>
          </w:p>
        </w:tc>
        <w:tc>
          <w:tcPr/>
          <w:p>
            <w:pPr>
              <w:pStyle w:val="Compact"/>
              <w:spacing w:after="0"/>
              <w:jc w:val="left"/>
            </w:pPr>
            <w:r>
              <w:rPr>
                <w:rFonts w:ascii="Times New Roman" w:hAnsi="Times New Roman"/>
                <w:sz w:val="18"/>
              </w:rPr>
              <w:t xml:space="preserve">0.00</w:t>
            </w:r>
          </w:p>
        </w:tc>
        <w:tc>
          <w:tcPr/>
          <w:p>
            <w:pPr>
              <w:pStyle w:val="Compact"/>
              <w:spacing w:after="0"/>
              <w:jc w:val="left"/>
            </w:pPr>
            <w:r>
              <w:rPr>
                <w:rFonts w:ascii="Times New Roman" w:hAnsi="Times New Roman"/>
                <w:sz w:val="18"/>
              </w:rPr>
              <w:t xml:space="preserve">0.98</w:t>
            </w:r>
          </w:p>
        </w:tc>
        <w:tc>
          <w:tcPr/>
          <w:p>
            <w:pPr>
              <w:pStyle w:val="Compact"/>
              <w:spacing w:after="0"/>
              <w:jc w:val="left"/>
            </w:pPr>
            <w:r>
              <w:rPr>
                <w:rFonts w:ascii="Times New Roman" w:hAnsi="Times New Roman"/>
                <w:sz w:val="18"/>
              </w:rPr>
              <w:t xml:space="preserve">0.627</w:t>
            </w:r>
          </w:p>
        </w:tc>
      </w:tr>
      <w:tr>
        <w:tc>
          <w:tcPr/>
          <w:p>
            <w:pPr>
              <w:pStyle w:val="Compact"/>
              <w:spacing w:after="0"/>
              <w:jc w:val="left"/>
            </w:pPr>
            <w:r>
              <w:rPr>
                <w:rFonts w:ascii="Times New Roman" w:hAnsi="Times New Roman"/>
                <w:sz w:val="18"/>
              </w:rPr>
              <w:t xml:space="preserve">Random forest</w:t>
            </w:r>
          </w:p>
        </w:tc>
        <w:tc>
          <w:tcPr/>
          <w:p>
            <w:pPr>
              <w:pStyle w:val="Compact"/>
              <w:spacing w:after="0"/>
              <w:jc w:val="left"/>
            </w:pPr>
            <w:r>
              <w:rPr>
                <w:rFonts w:ascii="Times New Roman" w:hAnsi="Times New Roman"/>
                <w:sz w:val="18"/>
              </w:rPr>
              <w:t xml:space="preserve">0.634 (0.605–0.662)</w:t>
            </w:r>
          </w:p>
        </w:tc>
        <w:tc>
          <w:tcPr/>
          <w:p>
            <w:pPr>
              <w:pStyle w:val="Compact"/>
              <w:spacing w:after="0"/>
              <w:jc w:val="left"/>
            </w:pPr>
            <w:r>
              <w:rPr>
                <w:rFonts w:ascii="Times New Roman" w:hAnsi="Times New Roman"/>
                <w:sz w:val="18"/>
              </w:rPr>
              <w:t xml:space="preserve">0.124 (0.106–0.148)</w:t>
            </w:r>
          </w:p>
        </w:tc>
        <w:tc>
          <w:tcPr/>
          <w:p>
            <w:pPr>
              <w:pStyle w:val="Compact"/>
              <w:spacing w:after="0"/>
              <w:jc w:val="left"/>
            </w:pPr>
            <w:r>
              <w:rPr>
                <w:rFonts w:ascii="Times New Roman" w:hAnsi="Times New Roman"/>
                <w:sz w:val="18"/>
              </w:rPr>
              <w:t xml:space="preserve">0.072</w:t>
            </w:r>
          </w:p>
        </w:tc>
        <w:tc>
          <w:tcPr/>
          <w:p>
            <w:pPr>
              <w:pStyle w:val="Compact"/>
              <w:spacing w:after="0"/>
              <w:jc w:val="left"/>
            </w:pPr>
            <w:r>
              <w:rPr>
                <w:rFonts w:ascii="Times New Roman" w:hAnsi="Times New Roman"/>
                <w:sz w:val="18"/>
              </w:rPr>
              <w:t xml:space="preserve">0.015</w:t>
            </w:r>
          </w:p>
        </w:tc>
        <w:tc>
          <w:tcPr/>
          <w:p>
            <w:pPr>
              <w:pStyle w:val="Compact"/>
              <w:spacing w:after="0"/>
              <w:jc w:val="left"/>
            </w:pPr>
            <w:r>
              <w:rPr>
                <w:rFonts w:ascii="Times New Roman" w:hAnsi="Times New Roman"/>
                <w:sz w:val="18"/>
              </w:rPr>
              <w:t xml:space="preserve">0.00</w:t>
            </w:r>
          </w:p>
        </w:tc>
        <w:tc>
          <w:tcPr/>
          <w:p>
            <w:pPr>
              <w:pStyle w:val="Compact"/>
              <w:spacing w:after="0"/>
              <w:jc w:val="left"/>
            </w:pPr>
            <w:r>
              <w:rPr>
                <w:rFonts w:ascii="Times New Roman" w:hAnsi="Times New Roman"/>
                <w:sz w:val="18"/>
              </w:rPr>
              <w:t xml:space="preserve">1.50</w:t>
            </w:r>
          </w:p>
        </w:tc>
        <w:tc>
          <w:tcPr/>
          <w:p>
            <w:pPr>
              <w:pStyle w:val="Compact"/>
              <w:spacing w:after="0"/>
              <w:jc w:val="left"/>
            </w:pPr>
            <w:r>
              <w:rPr>
                <w:rFonts w:ascii="Times New Roman" w:hAnsi="Times New Roman"/>
                <w:sz w:val="18"/>
              </w:rPr>
              <w:t xml:space="preserve">0.618</w:t>
            </w:r>
          </w:p>
        </w:tc>
      </w:tr>
      <w:tr>
        <w:tc>
          <w:tcPr/>
          <w:p>
            <w:pPr>
              <w:pStyle w:val="Compact"/>
              <w:spacing w:after="0"/>
              <w:jc w:val="left"/>
            </w:pPr>
            <w:r>
              <w:rPr>
                <w:rFonts w:ascii="Times New Roman" w:hAnsi="Times New Roman"/>
                <w:sz w:val="18"/>
              </w:rPr>
              <w:t xml:space="preserve">XGBoost</w:t>
            </w:r>
          </w:p>
        </w:tc>
        <w:tc>
          <w:tcPr/>
          <w:p>
            <w:pPr>
              <w:pStyle w:val="Compact"/>
              <w:spacing w:after="0"/>
              <w:jc w:val="left"/>
            </w:pPr>
            <w:r>
              <w:rPr>
                <w:rFonts w:ascii="Times New Roman" w:hAnsi="Times New Roman"/>
                <w:sz w:val="18"/>
              </w:rPr>
              <w:t xml:space="preserve">0.634 (0.606–0.661)</w:t>
            </w:r>
          </w:p>
        </w:tc>
        <w:tc>
          <w:tcPr/>
          <w:p>
            <w:pPr>
              <w:pStyle w:val="Compact"/>
              <w:spacing w:after="0"/>
              <w:jc w:val="left"/>
            </w:pPr>
            <w:r>
              <w:rPr>
                <w:rFonts w:ascii="Times New Roman" w:hAnsi="Times New Roman"/>
                <w:sz w:val="18"/>
              </w:rPr>
              <w:t xml:space="preserve">0.123 (0.106–0.146)</w:t>
            </w:r>
          </w:p>
        </w:tc>
        <w:tc>
          <w:tcPr/>
          <w:p>
            <w:pPr>
              <w:pStyle w:val="Compact"/>
              <w:spacing w:after="0"/>
              <w:jc w:val="left"/>
            </w:pPr>
            <w:r>
              <w:rPr>
                <w:rFonts w:ascii="Times New Roman" w:hAnsi="Times New Roman"/>
                <w:sz w:val="18"/>
              </w:rPr>
              <w:t xml:space="preserve">0.072</w:t>
            </w:r>
          </w:p>
        </w:tc>
        <w:tc>
          <w:tcPr/>
          <w:p>
            <w:pPr>
              <w:pStyle w:val="Compact"/>
              <w:spacing w:after="0"/>
              <w:jc w:val="left"/>
            </w:pPr>
            <w:r>
              <w:rPr>
                <w:rFonts w:ascii="Times New Roman" w:hAnsi="Times New Roman"/>
                <w:sz w:val="18"/>
              </w:rPr>
              <w:t xml:space="preserve">0.016</w:t>
            </w:r>
          </w:p>
        </w:tc>
        <w:tc>
          <w:tcPr/>
          <w:p>
            <w:pPr>
              <w:pStyle w:val="Compact"/>
              <w:spacing w:after="0"/>
              <w:jc w:val="left"/>
            </w:pPr>
            <w:r>
              <w:rPr>
                <w:rFonts w:ascii="Times New Roman" w:hAnsi="Times New Roman"/>
                <w:sz w:val="18"/>
              </w:rPr>
              <w:t xml:space="preserve">0.01</w:t>
            </w:r>
          </w:p>
        </w:tc>
        <w:tc>
          <w:tcPr/>
          <w:p>
            <w:pPr>
              <w:pStyle w:val="Compact"/>
              <w:spacing w:after="0"/>
              <w:jc w:val="left"/>
            </w:pPr>
            <w:r>
              <w:rPr>
                <w:rFonts w:ascii="Times New Roman" w:hAnsi="Times New Roman"/>
                <w:sz w:val="18"/>
              </w:rPr>
              <w:t xml:space="preserve">1.01</w:t>
            </w:r>
          </w:p>
        </w:tc>
        <w:tc>
          <w:tcPr/>
          <w:p>
            <w:pPr>
              <w:pStyle w:val="Compact"/>
              <w:spacing w:after="0"/>
              <w:jc w:val="left"/>
            </w:pPr>
            <w:r>
              <w:rPr>
                <w:rFonts w:ascii="Times New Roman" w:hAnsi="Times New Roman"/>
                <w:sz w:val="18"/>
              </w:rPr>
              <w:t xml:space="preserve">0.626</w:t>
            </w:r>
          </w:p>
        </w:tc>
      </w:tr>
      <w:tr>
        <w:tc>
          <w:tcPr/>
          <w:p>
            <w:pPr>
              <w:pStyle w:val="Compact"/>
              <w:spacing w:after="0"/>
              <w:jc w:val="left"/>
            </w:pPr>
            <w:r>
              <w:rPr>
                <w:rFonts w:ascii="Times New Roman" w:hAnsi="Times New Roman"/>
                <w:sz w:val="18"/>
              </w:rPr>
              <w:t xml:space="preserve">CatBoost</w:t>
            </w:r>
          </w:p>
        </w:tc>
        <w:tc>
          <w:tcPr/>
          <w:p>
            <w:pPr>
              <w:pStyle w:val="Compact"/>
              <w:spacing w:after="0"/>
              <w:jc w:val="left"/>
            </w:pPr>
            <w:r>
              <w:rPr>
                <w:rFonts w:ascii="Times New Roman" w:hAnsi="Times New Roman"/>
                <w:sz w:val="18"/>
              </w:rPr>
              <w:t xml:space="preserve">0.644 (0.616–0.672)</w:t>
            </w:r>
          </w:p>
        </w:tc>
        <w:tc>
          <w:tcPr/>
          <w:p>
            <w:pPr>
              <w:pStyle w:val="Compact"/>
              <w:spacing w:after="0"/>
              <w:jc w:val="left"/>
            </w:pPr>
            <w:r>
              <w:rPr>
                <w:rFonts w:ascii="Times New Roman" w:hAnsi="Times New Roman"/>
                <w:sz w:val="18"/>
              </w:rPr>
              <w:t xml:space="preserve">0.126 (0.109–0.151)</w:t>
            </w:r>
          </w:p>
        </w:tc>
        <w:tc>
          <w:tcPr/>
          <w:p>
            <w:pPr>
              <w:pStyle w:val="Compact"/>
              <w:spacing w:after="0"/>
              <w:jc w:val="left"/>
            </w:pPr>
            <w:r>
              <w:rPr>
                <w:rFonts w:ascii="Times New Roman" w:hAnsi="Times New Roman"/>
                <w:sz w:val="18"/>
              </w:rPr>
              <w:t xml:space="preserve">0.072</w:t>
            </w:r>
          </w:p>
        </w:tc>
        <w:tc>
          <w:tcPr/>
          <w:p>
            <w:pPr>
              <w:pStyle w:val="Compact"/>
              <w:spacing w:after="0"/>
              <w:jc w:val="left"/>
            </w:pPr>
            <w:r>
              <w:rPr>
                <w:rFonts w:ascii="Times New Roman" w:hAnsi="Times New Roman"/>
                <w:sz w:val="18"/>
              </w:rPr>
              <w:t xml:space="preserve">0.018</w:t>
            </w:r>
          </w:p>
        </w:tc>
        <w:tc>
          <w:tcPr/>
          <w:p>
            <w:pPr>
              <w:pStyle w:val="Compact"/>
              <w:spacing w:after="0"/>
              <w:jc w:val="left"/>
            </w:pPr>
            <w:r>
              <w:rPr>
                <w:rFonts w:ascii="Times New Roman" w:hAnsi="Times New Roman"/>
                <w:sz w:val="18"/>
              </w:rPr>
              <w:t xml:space="preserve">0.01</w:t>
            </w:r>
          </w:p>
        </w:tc>
        <w:tc>
          <w:tcPr/>
          <w:p>
            <w:pPr>
              <w:pStyle w:val="Compact"/>
              <w:spacing w:after="0"/>
              <w:jc w:val="left"/>
            </w:pPr>
            <w:r>
              <w:rPr>
                <w:rFonts w:ascii="Times New Roman" w:hAnsi="Times New Roman"/>
                <w:sz w:val="18"/>
              </w:rPr>
              <w:t xml:space="preserve">1.21</w:t>
            </w:r>
          </w:p>
        </w:tc>
        <w:tc>
          <w:tcPr/>
          <w:p>
            <w:pPr>
              <w:pStyle w:val="Compact"/>
              <w:spacing w:after="0"/>
              <w:jc w:val="left"/>
            </w:pPr>
            <w:r>
              <w:rPr>
                <w:rFonts w:ascii="Times New Roman" w:hAnsi="Times New Roman"/>
                <w:sz w:val="18"/>
              </w:rPr>
              <w:t xml:space="preserve">0.626</w:t>
            </w:r>
          </w:p>
        </w:tc>
      </w:tr>
      <w:tr>
        <w:tc>
          <w:tcPr/>
          <w:p>
            <w:pPr>
              <w:pStyle w:val="Compact"/>
              <w:spacing w:after="0"/>
              <w:jc w:val="left"/>
            </w:pPr>
            <w:r>
              <w:rPr>
                <w:bCs/>
                <w:rFonts w:ascii="Times New Roman" w:hAnsi="Times New Roman"/>
                <w:b/>
                <w:sz w:val="18"/>
              </w:rPr>
              <w:t xml:space="preserve">Stacking ensemble</w:t>
            </w:r>
          </w:p>
        </w:tc>
        <w:tc>
          <w:tcPr/>
          <w:p>
            <w:pPr>
              <w:pStyle w:val="Compact"/>
              <w:spacing w:after="0"/>
              <w:jc w:val="left"/>
            </w:pPr>
            <w:r>
              <w:rPr>
                <w:bCs/>
                <w:rFonts w:ascii="Times New Roman" w:hAnsi="Times New Roman"/>
                <w:b/>
                <w:sz w:val="18"/>
              </w:rPr>
              <w:t xml:space="preserve">0.640 (0.611–0.668)</w:t>
            </w:r>
          </w:p>
        </w:tc>
        <w:tc>
          <w:tcPr/>
          <w:p>
            <w:pPr>
              <w:pStyle w:val="Compact"/>
              <w:spacing w:after="0"/>
              <w:jc w:val="left"/>
            </w:pPr>
            <w:r>
              <w:rPr>
                <w:bCs/>
                <w:rFonts w:ascii="Times New Roman" w:hAnsi="Times New Roman"/>
                <w:b/>
                <w:sz w:val="18"/>
              </w:rPr>
              <w:t xml:space="preserve">0.125 (0.108–0.148)</w:t>
            </w:r>
          </w:p>
        </w:tc>
        <w:tc>
          <w:tcPr/>
          <w:p>
            <w:pPr>
              <w:pStyle w:val="Compact"/>
              <w:spacing w:after="0"/>
              <w:jc w:val="left"/>
            </w:pPr>
            <w:r>
              <w:rPr>
                <w:bCs/>
                <w:rFonts w:ascii="Times New Roman" w:hAnsi="Times New Roman"/>
                <w:b/>
                <w:sz w:val="18"/>
              </w:rPr>
              <w:t xml:space="preserve">0.072</w:t>
            </w:r>
          </w:p>
        </w:tc>
        <w:tc>
          <w:tcPr/>
          <w:p>
            <w:pPr>
              <w:pStyle w:val="Compact"/>
              <w:spacing w:after="0"/>
              <w:jc w:val="left"/>
            </w:pPr>
            <w:r>
              <w:rPr>
                <w:bCs/>
                <w:rFonts w:ascii="Times New Roman" w:hAnsi="Times New Roman"/>
                <w:b/>
                <w:sz w:val="18"/>
              </w:rPr>
              <w:t xml:space="preserve">0.016</w:t>
            </w:r>
          </w:p>
        </w:tc>
        <w:tc>
          <w:tcPr/>
          <w:p>
            <w:pPr>
              <w:pStyle w:val="Compact"/>
              <w:spacing w:after="0"/>
              <w:jc w:val="left"/>
            </w:pPr>
            <w:r>
              <w:rPr>
                <w:bCs/>
                <w:rFonts w:ascii="Times New Roman" w:hAnsi="Times New Roman"/>
                <w:b/>
                <w:sz w:val="18"/>
              </w:rPr>
              <w:t xml:space="preserve">0.01</w:t>
            </w:r>
          </w:p>
        </w:tc>
        <w:tc>
          <w:tcPr/>
          <w:p>
            <w:pPr>
              <w:pStyle w:val="Compact"/>
              <w:spacing w:after="0"/>
              <w:jc w:val="left"/>
            </w:pPr>
            <w:r>
              <w:rPr>
                <w:bCs/>
                <w:rFonts w:ascii="Times New Roman" w:hAnsi="Times New Roman"/>
                <w:b/>
                <w:sz w:val="18"/>
              </w:rPr>
              <w:t xml:space="preserve">1.31</w:t>
            </w:r>
          </w:p>
        </w:tc>
        <w:tc>
          <w:tcPr/>
          <w:p>
            <w:pPr>
              <w:pStyle w:val="Compact"/>
              <w:spacing w:after="0"/>
              <w:jc w:val="left"/>
            </w:pPr>
            <w:r>
              <w:rPr>
                <w:bCs/>
                <w:rFonts w:ascii="Times New Roman" w:hAnsi="Times New Roman"/>
                <w:b/>
                <w:sz w:val="18"/>
              </w:rPr>
              <w:t xml:space="preserve">0.631</w:t>
            </w:r>
          </w:p>
        </w:tc>
      </w:tr>
    </w:tbl>
    <w:p>
      <w:pPr>
        <w:pStyle w:val="BodyText"/>
      </w:pPr>
      <w:r>
        <w:t xml:space="preserve">At the top-20% threshold (τ = 0.099), 19.2% of women are flagged. Sensitivity is 30.7%, specificity 81.8%, PPV 12.8% and NPV 93.2%. Net benefit exceeds both default strategies only for thresholds of about 5–15%. In women booked at ≤ 12 weeks, the AUROC is 0.627 (0.593–0.664).</w:t>
      </w:r>
    </w:p>
    <w:p>
      <w:pPr>
        <w:pStyle w:val="BodyText"/>
      </w:pPr>
      <w:r>
        <w:t xml:space="preserve">This modest discrimination is the empirical reason for the two-stage design. The booking model provides a calibrated pre-test risk, and most of the discrimination is expected from the late ultrasound criterion (summary AUROC about 0.85 for AC ≥ 36 cm [27]).</w:t>
      </w:r>
    </w:p>
    <w:p>
      <w:pPr>
        <w:pStyle w:val="BodyText"/>
      </w:pPr>
      <w:r>
        <w:t xml:space="preserve">As a worked example, a flagged woman with p₀ = 10% and a positive AC criterion has p₁ = 43.4%. With a negative criterion, p₁ = 3.9%.</w:t>
      </w:r>
    </w:p>
    <w:bookmarkEnd w:id="47"/>
    <w:bookmarkStart w:id="48" w:name="d.-explainability"/>
    <w:p>
      <w:pPr>
        <w:pStyle w:val="Heading3"/>
      </w:pPr>
      <w:r>
        <w:t xml:space="preserve">D. Explainability</w:t>
      </w:r>
    </w:p>
    <w:p>
      <w:pPr>
        <w:pStyle w:val="FirstParagraph"/>
      </w:pPr>
      <w:r>
        <w:t xml:space="preserve">Table VII lists the predictors with the largest mean |SHAP| values for the CatBoost base learner on the test set [32].</w:t>
      </w:r>
    </w:p>
    <w:p>
      <w:pPr>
        <w:pStyle w:val="BodyText"/>
      </w:pPr>
      <w:r>
        <w:rPr>
          <w:bCs/>
          <w:b/>
        </w:rPr>
        <w:t xml:space="preserve">TABLE VII — Top predictors by mean |SHAP| (CatBoost, test set)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rPr>
        <w:tc>
          <w:tcPr>
            <w:shd w:val="clear" w:color="auto" w:fill="E7E6E6"/>
          </w:tcPr>
          <w:p>
            <w:pPr>
              <w:pStyle w:val="Compact"/>
              <w:spacing w:after="0"/>
              <w:jc w:val="left"/>
            </w:pPr>
            <w:r>
              <w:rPr>
                <w:rFonts w:ascii="Times New Roman" w:hAnsi="Times New Roman"/>
                <w:b/>
                <w:sz w:val="18"/>
              </w:rPr>
              <w:t xml:space="preserve">Rank</w:t>
            </w:r>
          </w:p>
        </w:tc>
        <w:tc>
          <w:tcPr>
            <w:shd w:val="clear" w:color="auto" w:fill="E7E6E6"/>
          </w:tcPr>
          <w:p>
            <w:pPr>
              <w:pStyle w:val="Compact"/>
              <w:spacing w:after="0"/>
              <w:jc w:val="left"/>
            </w:pPr>
            <w:r>
              <w:rPr>
                <w:rFonts w:ascii="Times New Roman" w:hAnsi="Times New Roman"/>
                <w:b/>
                <w:sz w:val="18"/>
              </w:rPr>
              <w:t xml:space="preserve">GDM</w:t>
            </w:r>
          </w:p>
        </w:tc>
        <w:tc>
          <w:tcPr>
            <w:shd w:val="clear" w:color="auto" w:fill="E7E6E6"/>
          </w:tcPr>
          <w:p>
            <w:pPr>
              <w:pStyle w:val="Compact"/>
              <w:spacing w:after="0"/>
              <w:jc w:val="left"/>
            </w:pPr>
            <w:r>
              <w:rPr>
                <w:rFonts w:ascii="Times New Roman" w:hAnsi="Times New Roman"/>
                <w:b/>
                <w:sz w:val="18"/>
              </w:rPr>
              <w:t xml:space="preserve">Mean abs. SHAP</w:t>
            </w:r>
          </w:p>
        </w:tc>
        <w:tc>
          <w:tcPr>
            <w:shd w:val="clear" w:color="auto" w:fill="E7E6E6"/>
          </w:tcPr>
          <w:p>
            <w:pPr>
              <w:pStyle w:val="Compact"/>
              <w:spacing w:after="0"/>
              <w:jc w:val="left"/>
            </w:pPr>
            <w:r>
              <w:rPr>
                <w:rFonts w:ascii="Times New Roman" w:hAnsi="Times New Roman"/>
                <w:b/>
                <w:sz w:val="18"/>
              </w:rPr>
              <w:t xml:space="preserve">Macrosomia</w:t>
            </w:r>
          </w:p>
        </w:tc>
        <w:tc>
          <w:tcPr>
            <w:shd w:val="clear" w:color="auto" w:fill="E7E6E6"/>
          </w:tcPr>
          <w:p>
            <w:pPr>
              <w:pStyle w:val="Compact"/>
              <w:spacing w:after="0"/>
              <w:jc w:val="left"/>
            </w:pPr>
            <w:r>
              <w:rPr>
                <w:rFonts w:ascii="Times New Roman" w:hAnsi="Times New Roman"/>
                <w:b/>
                <w:sz w:val="18"/>
              </w:rPr>
              <w:t xml:space="preserve">Mean abs. SHAP</w:t>
            </w:r>
          </w:p>
        </w:tc>
      </w:tr>
      <w:tr>
        <w:tc>
          <w:tcPr/>
          <w:p>
            <w:pPr>
              <w:pStyle w:val="Compact"/>
              <w:spacing w:after="0"/>
              <w:jc w:val="left"/>
            </w:pPr>
            <w:r>
              <w:rPr>
                <w:rFonts w:ascii="Times New Roman" w:hAnsi="Times New Roman"/>
                <w:sz w:val="18"/>
              </w:rPr>
              <w:t xml:space="preserve">1</w:t>
            </w:r>
          </w:p>
        </w:tc>
        <w:tc>
          <w:tcPr/>
          <w:p>
            <w:pPr>
              <w:pStyle w:val="Compact"/>
              <w:spacing w:after="0"/>
              <w:jc w:val="left"/>
            </w:pPr>
            <w:r>
              <w:rPr>
                <w:rFonts w:ascii="Times New Roman" w:hAnsi="Times New Roman"/>
                <w:sz w:val="18"/>
              </w:rPr>
              <w:t xml:space="preserve">Maternal age</w:t>
            </w:r>
          </w:p>
        </w:tc>
        <w:tc>
          <w:tcPr/>
          <w:p>
            <w:pPr>
              <w:pStyle w:val="Compact"/>
              <w:spacing w:after="0"/>
              <w:jc w:val="left"/>
            </w:pPr>
            <w:r>
              <w:rPr>
                <w:rFonts w:ascii="Times New Roman" w:hAnsi="Times New Roman"/>
                <w:sz w:val="18"/>
              </w:rPr>
              <w:t xml:space="preserve">0.316</w:t>
            </w:r>
          </w:p>
        </w:tc>
        <w:tc>
          <w:tcPr/>
          <w:p>
            <w:pPr>
              <w:pStyle w:val="Compact"/>
              <w:spacing w:after="0"/>
              <w:jc w:val="left"/>
            </w:pPr>
            <w:r>
              <w:rPr>
                <w:rFonts w:ascii="Times New Roman" w:hAnsi="Times New Roman"/>
                <w:sz w:val="18"/>
              </w:rPr>
              <w:t xml:space="preserve">Booking BMI</w:t>
            </w:r>
          </w:p>
        </w:tc>
        <w:tc>
          <w:tcPr/>
          <w:p>
            <w:pPr>
              <w:pStyle w:val="Compact"/>
              <w:spacing w:after="0"/>
              <w:jc w:val="left"/>
            </w:pPr>
            <w:r>
              <w:rPr>
                <w:rFonts w:ascii="Times New Roman" w:hAnsi="Times New Roman"/>
                <w:sz w:val="18"/>
              </w:rPr>
              <w:t xml:space="preserve">0.214</w:t>
            </w:r>
          </w:p>
        </w:tc>
      </w:tr>
      <w:tr>
        <w:tc>
          <w:tcPr/>
          <w:p>
            <w:pPr>
              <w:pStyle w:val="Compact"/>
              <w:spacing w:after="0"/>
              <w:jc w:val="left"/>
            </w:pPr>
            <w:r>
              <w:rPr>
                <w:rFonts w:ascii="Times New Roman" w:hAnsi="Times New Roman"/>
                <w:sz w:val="18"/>
              </w:rPr>
              <w:t xml:space="preserve">2</w:t>
            </w:r>
          </w:p>
        </w:tc>
        <w:tc>
          <w:tcPr/>
          <w:p>
            <w:pPr>
              <w:pStyle w:val="Compact"/>
              <w:spacing w:after="0"/>
              <w:jc w:val="left"/>
            </w:pPr>
            <w:r>
              <w:rPr>
                <w:rFonts w:ascii="Times New Roman" w:hAnsi="Times New Roman"/>
                <w:sz w:val="18"/>
              </w:rPr>
              <w:t xml:space="preserve">Booking BMI</w:t>
            </w:r>
          </w:p>
        </w:tc>
        <w:tc>
          <w:tcPr/>
          <w:p>
            <w:pPr>
              <w:pStyle w:val="Compact"/>
              <w:spacing w:after="0"/>
              <w:jc w:val="left"/>
            </w:pPr>
            <w:r>
              <w:rPr>
                <w:rFonts w:ascii="Times New Roman" w:hAnsi="Times New Roman"/>
                <w:sz w:val="18"/>
              </w:rPr>
              <w:t xml:space="preserve">0.315</w:t>
            </w:r>
          </w:p>
        </w:tc>
        <w:tc>
          <w:tcPr/>
          <w:p>
            <w:pPr>
              <w:pStyle w:val="Compact"/>
              <w:spacing w:after="0"/>
              <w:jc w:val="left"/>
            </w:pPr>
            <w:r>
              <w:rPr>
                <w:rFonts w:ascii="Times New Roman" w:hAnsi="Times New Roman"/>
                <w:sz w:val="18"/>
              </w:rPr>
              <w:t xml:space="preserve">Ethnicity: Western European</w:t>
            </w:r>
          </w:p>
        </w:tc>
        <w:tc>
          <w:tcPr/>
          <w:p>
            <w:pPr>
              <w:pStyle w:val="Compact"/>
              <w:spacing w:after="0"/>
              <w:jc w:val="left"/>
            </w:pPr>
            <w:r>
              <w:rPr>
                <w:rFonts w:ascii="Times New Roman" w:hAnsi="Times New Roman"/>
                <w:sz w:val="18"/>
              </w:rPr>
              <w:t xml:space="preserve">0.110</w:t>
            </w:r>
          </w:p>
        </w:tc>
      </w:tr>
      <w:tr>
        <w:tc>
          <w:tcPr/>
          <w:p>
            <w:pPr>
              <w:pStyle w:val="Compact"/>
              <w:spacing w:after="0"/>
              <w:jc w:val="left"/>
            </w:pPr>
            <w:r>
              <w:rPr>
                <w:rFonts w:ascii="Times New Roman" w:hAnsi="Times New Roman"/>
                <w:sz w:val="18"/>
              </w:rPr>
              <w:t xml:space="preserve">3</w:t>
            </w:r>
          </w:p>
        </w:tc>
        <w:tc>
          <w:tcPr/>
          <w:p>
            <w:pPr>
              <w:pStyle w:val="Compact"/>
              <w:spacing w:after="0"/>
              <w:jc w:val="left"/>
            </w:pPr>
            <w:r>
              <w:rPr>
                <w:rFonts w:ascii="Times New Roman" w:hAnsi="Times New Roman"/>
                <w:sz w:val="18"/>
              </w:rPr>
              <w:t xml:space="preserve">Systolic BP not recorded</w:t>
            </w:r>
          </w:p>
        </w:tc>
        <w:tc>
          <w:tcPr/>
          <w:p>
            <w:pPr>
              <w:pStyle w:val="Compact"/>
              <w:spacing w:after="0"/>
              <w:jc w:val="left"/>
            </w:pPr>
            <w:r>
              <w:rPr>
                <w:rFonts w:ascii="Times New Roman" w:hAnsi="Times New Roman"/>
                <w:sz w:val="18"/>
              </w:rPr>
              <w:t xml:space="preserve">0.228</w:t>
            </w:r>
          </w:p>
        </w:tc>
        <w:tc>
          <w:tcPr/>
          <w:p>
            <w:pPr>
              <w:pStyle w:val="Compact"/>
              <w:spacing w:after="0"/>
              <w:jc w:val="left"/>
            </w:pPr>
            <w:r>
              <w:rPr>
                <w:rFonts w:ascii="Times New Roman" w:hAnsi="Times New Roman"/>
                <w:sz w:val="18"/>
              </w:rPr>
              <w:t xml:space="preserve">Ethnicity: Other</w:t>
            </w:r>
          </w:p>
        </w:tc>
        <w:tc>
          <w:tcPr/>
          <w:p>
            <w:pPr>
              <w:pStyle w:val="Compact"/>
              <w:spacing w:after="0"/>
              <w:jc w:val="left"/>
            </w:pPr>
            <w:r>
              <w:rPr>
                <w:rFonts w:ascii="Times New Roman" w:hAnsi="Times New Roman"/>
                <w:sz w:val="18"/>
              </w:rPr>
              <w:t xml:space="preserve">0.091</w:t>
            </w:r>
          </w:p>
        </w:tc>
      </w:tr>
      <w:tr>
        <w:tc>
          <w:tcPr/>
          <w:p>
            <w:pPr>
              <w:pStyle w:val="Compact"/>
              <w:spacing w:after="0"/>
              <w:jc w:val="left"/>
            </w:pPr>
            <w:r>
              <w:rPr>
                <w:rFonts w:ascii="Times New Roman" w:hAnsi="Times New Roman"/>
                <w:sz w:val="18"/>
              </w:rPr>
              <w:t xml:space="preserve">4</w:t>
            </w:r>
          </w:p>
        </w:tc>
        <w:tc>
          <w:tcPr/>
          <w:p>
            <w:pPr>
              <w:pStyle w:val="Compact"/>
              <w:spacing w:after="0"/>
              <w:jc w:val="left"/>
            </w:pPr>
            <w:r>
              <w:rPr>
                <w:rFonts w:ascii="Times New Roman" w:hAnsi="Times New Roman"/>
                <w:sz w:val="18"/>
              </w:rPr>
              <w:t xml:space="preserve">Ethnicity: Other</w:t>
            </w:r>
          </w:p>
        </w:tc>
        <w:tc>
          <w:tcPr/>
          <w:p>
            <w:pPr>
              <w:pStyle w:val="Compact"/>
              <w:spacing w:after="0"/>
              <w:jc w:val="left"/>
            </w:pPr>
            <w:r>
              <w:rPr>
                <w:rFonts w:ascii="Times New Roman" w:hAnsi="Times New Roman"/>
                <w:sz w:val="18"/>
              </w:rPr>
              <w:t xml:space="preserve">0.171</w:t>
            </w:r>
          </w:p>
        </w:tc>
        <w:tc>
          <w:tcPr/>
          <w:p>
            <w:pPr>
              <w:pStyle w:val="Compact"/>
              <w:spacing w:after="0"/>
              <w:jc w:val="left"/>
            </w:pPr>
            <w:r>
              <w:rPr>
                <w:rFonts w:ascii="Times New Roman" w:hAnsi="Times New Roman"/>
                <w:sz w:val="18"/>
              </w:rPr>
              <w:t xml:space="preserve">Ethnicity: British</w:t>
            </w:r>
          </w:p>
        </w:tc>
        <w:tc>
          <w:tcPr/>
          <w:p>
            <w:pPr>
              <w:pStyle w:val="Compact"/>
              <w:spacing w:after="0"/>
              <w:jc w:val="left"/>
            </w:pPr>
            <w:r>
              <w:rPr>
                <w:rFonts w:ascii="Times New Roman" w:hAnsi="Times New Roman"/>
                <w:sz w:val="18"/>
              </w:rPr>
              <w:t xml:space="preserve">0.083</w:t>
            </w:r>
          </w:p>
        </w:tc>
      </w:tr>
      <w:tr>
        <w:tc>
          <w:tcPr/>
          <w:p>
            <w:pPr>
              <w:pStyle w:val="Compact"/>
              <w:spacing w:after="0"/>
              <w:jc w:val="left"/>
            </w:pPr>
            <w:r>
              <w:rPr>
                <w:rFonts w:ascii="Times New Roman" w:hAnsi="Times New Roman"/>
                <w:sz w:val="18"/>
              </w:rPr>
              <w:t xml:space="preserve">5</w:t>
            </w:r>
          </w:p>
        </w:tc>
        <w:tc>
          <w:tcPr/>
          <w:p>
            <w:pPr>
              <w:pStyle w:val="Compact"/>
              <w:spacing w:after="0"/>
              <w:jc w:val="left"/>
            </w:pPr>
            <w:r>
              <w:rPr>
                <w:rFonts w:ascii="Times New Roman" w:hAnsi="Times New Roman"/>
                <w:sz w:val="18"/>
              </w:rPr>
              <w:t xml:space="preserve">Gestational age at booking</w:t>
            </w:r>
          </w:p>
        </w:tc>
        <w:tc>
          <w:tcPr/>
          <w:p>
            <w:pPr>
              <w:pStyle w:val="Compact"/>
              <w:spacing w:after="0"/>
              <w:jc w:val="left"/>
            </w:pPr>
            <w:r>
              <w:rPr>
                <w:rFonts w:ascii="Times New Roman" w:hAnsi="Times New Roman"/>
                <w:sz w:val="18"/>
              </w:rPr>
              <w:t xml:space="preserve">0.148</w:t>
            </w:r>
          </w:p>
        </w:tc>
        <w:tc>
          <w:tcPr/>
          <w:p>
            <w:pPr>
              <w:pStyle w:val="Compact"/>
              <w:spacing w:after="0"/>
              <w:jc w:val="left"/>
            </w:pPr>
            <w:r>
              <w:rPr>
                <w:rFonts w:ascii="Times New Roman" w:hAnsi="Times New Roman"/>
                <w:sz w:val="18"/>
              </w:rPr>
              <w:t xml:space="preserve">Maternal age</w:t>
            </w:r>
          </w:p>
        </w:tc>
        <w:tc>
          <w:tcPr/>
          <w:p>
            <w:pPr>
              <w:pStyle w:val="Compact"/>
              <w:spacing w:after="0"/>
              <w:jc w:val="left"/>
            </w:pPr>
            <w:r>
              <w:rPr>
                <w:rFonts w:ascii="Times New Roman" w:hAnsi="Times New Roman"/>
                <w:sz w:val="18"/>
              </w:rPr>
              <w:t xml:space="preserve">0.082</w:t>
            </w:r>
          </w:p>
        </w:tc>
      </w:tr>
      <w:tr>
        <w:tc>
          <w:tcPr/>
          <w:p>
            <w:pPr>
              <w:pStyle w:val="Compact"/>
              <w:spacing w:after="0"/>
              <w:jc w:val="left"/>
            </w:pPr>
            <w:r>
              <w:rPr>
                <w:rFonts w:ascii="Times New Roman" w:hAnsi="Times New Roman"/>
                <w:sz w:val="18"/>
              </w:rPr>
              <w:t xml:space="preserve">6</w:t>
            </w:r>
          </w:p>
        </w:tc>
        <w:tc>
          <w:tcPr/>
          <w:p>
            <w:pPr>
              <w:pStyle w:val="Compact"/>
              <w:spacing w:after="0"/>
              <w:jc w:val="left"/>
            </w:pPr>
            <w:r>
              <w:rPr>
                <w:rFonts w:ascii="Times New Roman" w:hAnsi="Times New Roman"/>
                <w:sz w:val="18"/>
              </w:rPr>
              <w:t xml:space="preserve">Ethnicity: British</w:t>
            </w:r>
          </w:p>
        </w:tc>
        <w:tc>
          <w:tcPr/>
          <w:p>
            <w:pPr>
              <w:pStyle w:val="Compact"/>
              <w:spacing w:after="0"/>
              <w:jc w:val="left"/>
            </w:pPr>
            <w:r>
              <w:rPr>
                <w:rFonts w:ascii="Times New Roman" w:hAnsi="Times New Roman"/>
                <w:sz w:val="18"/>
              </w:rPr>
              <w:t xml:space="preserve">0.130</w:t>
            </w:r>
          </w:p>
        </w:tc>
        <w:tc>
          <w:tcPr/>
          <w:p>
            <w:pPr>
              <w:pStyle w:val="Compact"/>
              <w:spacing w:after="0"/>
              <w:jc w:val="left"/>
            </w:pPr>
            <w:r>
              <w:rPr>
                <w:rFonts w:ascii="Times New Roman" w:hAnsi="Times New Roman"/>
                <w:sz w:val="18"/>
              </w:rPr>
              <w:t xml:space="preserve">Ethnicity: Indian</w:t>
            </w:r>
          </w:p>
        </w:tc>
        <w:tc>
          <w:tcPr/>
          <w:p>
            <w:pPr>
              <w:pStyle w:val="Compact"/>
              <w:spacing w:after="0"/>
              <w:jc w:val="left"/>
            </w:pPr>
            <w:r>
              <w:rPr>
                <w:rFonts w:ascii="Times New Roman" w:hAnsi="Times New Roman"/>
                <w:sz w:val="18"/>
              </w:rPr>
              <w:t xml:space="preserve">0.054</w:t>
            </w:r>
          </w:p>
        </w:tc>
      </w:tr>
    </w:tbl>
    <w:p>
      <w:pPr>
        <w:pStyle w:val="BodyText"/>
      </w:pPr>
      <w:r>
        <w:t xml:space="preserve">Age and BMI lead for GDM, consistent with established risk factors [40]. BMI leads for macrosomia.</w:t>
      </w:r>
    </w:p>
    <w:p>
      <w:pPr>
        <w:pStyle w:val="BodyText"/>
      </w:pPr>
      <w:r>
        <w:t xml:space="preserve">Whether systolic blood pressure was recorded ranks third for GDM. This probably reflects recording practice, not physiology, and is discussed as a limitation.</w:t>
      </w:r>
    </w:p>
    <w:bookmarkEnd w:id="48"/>
    <w:bookmarkStart w:id="52" w:name="e.-neural-ode-glucose-audit"/>
    <w:p>
      <w:pPr>
        <w:pStyle w:val="Heading3"/>
      </w:pPr>
      <w:r>
        <w:t xml:space="preserve">E. Neural ODE Glucose Audit</w:t>
      </w:r>
    </w:p>
    <w:p>
      <w:pPr>
        <w:pStyle w:val="FirstParagraph"/>
      </w:pPr>
      <w:r>
        <w:t xml:space="preserve">The Neural ODE was evaluated on the one quantity with real ground truth: fasting OGTT glucose in held-out women who had an OGTT (n = 3,354; mean 4.35 mmol/L, SD 0.53). The OGTT week is not recorded, so the simulated curve was read at weeks 24, 26 and 28, the window recommended by NICE NG3 [40]. The model received booking predictors only, as on the dashboard.</w:t>
      </w:r>
    </w:p>
    <w:p>
      <w:pPr>
        <w:pStyle w:val="CaptionedFigure"/>
      </w:pPr>
      <w:r>
        <w:drawing>
          <wp:inline>
            <wp:extent cx="5760720" cy="2631757"/>
            <wp:effectExtent b="0" l="0" r="0" t="0"/>
            <wp:docPr descr="Fig. 2. Neural ODE glucose audit · reports/validated/neural_ode_glucose_validation.txt, held-out test set" title="" id="50" name="Picture"/>
            <a:graphic>
              <a:graphicData uri="http://schemas.openxmlformats.org/drawingml/2006/picture">
                <pic:pic>
                  <pic:nvPicPr>
                    <pic:cNvPr descr="fig2.png" id="51" name="Picture"/>
                    <pic:cNvPicPr>
                      <a:picLocks noChangeArrowheads="1" noChangeAspect="1"/>
                    </pic:cNvPicPr>
                  </pic:nvPicPr>
                  <pic:blipFill>
                    <a:blip r:embed="rId49"/>
                    <a:stretch>
                      <a:fillRect/>
                    </a:stretch>
                  </pic:blipFill>
                  <pic:spPr bwMode="auto">
                    <a:xfrm>
                      <a:off x="0" y="0"/>
                      <a:ext cx="5760720" cy="2631757"/>
                    </a:xfrm>
                    <a:prstGeom prst="rect">
                      <a:avLst/>
                    </a:prstGeom>
                    <a:noFill/>
                    <a:ln w="9525">
                      <a:noFill/>
                      <a:headEnd/>
                      <a:tailEnd/>
                    </a:ln>
                  </pic:spPr>
                </pic:pic>
              </a:graphicData>
            </a:graphic>
          </wp:inline>
        </w:drawing>
      </w:r>
    </w:p>
    <w:p>
      <w:pPr>
        <w:pStyle w:val="ImageCaption"/>
      </w:pPr>
      <w:r>
        <w:t xml:space="preserve">Fig. 2. Neural ODE glucose audit · reports/validated/neural_ode_glucose_validation.txt, held-out test set</w:t>
      </w:r>
    </w:p>
    <w:p>
      <w:pPr>
        <w:pStyle w:val="BodyText"/>
      </w:pPr>
      <w:r>
        <w:t xml:space="preserve">The initial state (week 12) is about as informative as a linear regression on the same predictors: R² 0.057 vs 0.079, MAE 0.356 vs 0.344 mmol/L. The simulated trajectory then falls by 0.84 mmol/L from week 12 to week 26. At the OGTT window this gives MAE 0.80 mmol/L and R² −2.20 (95% CI −2.51 to −1.91), far worse than predicting the cohort mean.</w:t>
      </w:r>
    </w:p>
    <w:p>
      <w:pPr>
        <w:pStyle w:val="BodyText"/>
      </w:pPr>
      <w:r>
        <w:t xml:space="preserve">With one glucose value per woman, the slope of the trajectory is never supervised. The model’s per-week GDM</w:t>
      </w:r>
      <w:r>
        <w:t xml:space="preserve"> </w:t>
      </w:r>
      <w:r>
        <w:t xml:space="preserve">“</w:t>
      </w:r>
      <w:r>
        <w:t xml:space="preserve">risk</w:t>
      </w:r>
      <w:r>
        <w:t xml:space="preserve">”</w:t>
      </w:r>
      <w:r>
        <w:t xml:space="preserve"> </w:t>
      </w:r>
      <w:r>
        <w:t xml:space="preserve">output (AUROC 0.70) has no time-specific ground truth and was removed. The trajectories are therefore presented as illustrative only.</w:t>
      </w:r>
    </w:p>
    <w:p>
      <w:pPr>
        <w:pStyle w:val="BodyText"/>
      </w:pPr>
      <w:r>
        <w:t xml:space="preserve">On the synthetic longitudinal cohort [39], the same architecture forecasts withheld third-trimester weight with an MAE of 0.87 kg. Last observation carried forward gives 5.72 kg and linear extrapolation 3.15 kg. This supports the method when repeated measurements exist, not the clinical trajectories in this cohort.</w:t>
      </w:r>
    </w:p>
    <w:bookmarkEnd w:id="52"/>
    <w:bookmarkStart w:id="53" w:name="Xe0f844be7dcc384bcce2c0565d025bf4d67e685"/>
    <w:p>
      <w:pPr>
        <w:pStyle w:val="Heading3"/>
      </w:pPr>
      <w:r>
        <w:t xml:space="preserve">F. Abdominal Circumference Agreement (held-out ACOUSLIC-AI cases)</w:t>
      </w:r>
    </w:p>
    <w:p>
      <w:pPr>
        <w:pStyle w:val="FirstParagraph"/>
      </w:pPr>
      <w:r>
        <w:t xml:space="preserve">AC agreement is computed with</w:t>
      </w:r>
      <w:r>
        <w:t xml:space="preserve"> </w:t>
      </w:r>
      <w:r>
        <w:rPr>
          <w:rStyle w:val="VerbatimChar"/>
        </w:rPr>
        <w:t xml:space="preserve">fetal/evaluate_ac_accuracy.py</w:t>
      </w:r>
      <w:r>
        <w:t xml:space="preserve">. The script runs the deployed pipeline unchanged on every held-out case and reads pixel spacing from each image header. It then compares each predicted sweep AC with the expert reference.</w:t>
      </w:r>
    </w:p>
    <w:p>
      <w:pPr>
        <w:pStyle w:val="BodyText"/>
      </w:pPr>
      <w:r>
        <w:t xml:space="preserve">Detection failures (a reference exists but no abdomen is found) are counted separately. CIs come from a cluster bootstrap over subjects, and agreement is benchmarked against the ±8.8% interobserver limits [15].</w:t>
      </w:r>
    </w:p>
    <w:p>
      <w:pPr>
        <w:pStyle w:val="BodyText"/>
      </w:pPr>
      <w:r>
        <w:rPr>
          <w:bCs/>
          <w:b/>
        </w:rPr>
        <w:t xml:space="preserve">TABLE VIII — AC agreement on held-out cases [to be filled after running the script on the held-out case list]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rPr>
        <w:tc>
          <w:tcPr>
            <w:shd w:val="clear" w:color="auto" w:fill="E7E6E6"/>
          </w:tcPr>
          <w:p>
            <w:pPr>
              <w:pStyle w:val="Compact"/>
              <w:spacing w:after="0"/>
              <w:jc w:val="left"/>
            </w:pPr>
            <w:r>
              <w:rPr>
                <w:rFonts w:ascii="Times New Roman" w:hAnsi="Times New Roman"/>
                <w:b/>
                <w:sz w:val="18"/>
              </w:rPr>
              <w:t xml:space="preserve">Metric (per sweep)</w:t>
            </w:r>
          </w:p>
        </w:tc>
        <w:tc>
          <w:tcPr>
            <w:shd w:val="clear" w:color="auto" w:fill="E7E6E6"/>
          </w:tcPr>
          <w:p>
            <w:pPr>
              <w:pStyle w:val="Compact"/>
              <w:spacing w:after="0"/>
              <w:jc w:val="left"/>
            </w:pPr>
            <w:r>
              <w:rPr>
                <w:rFonts w:ascii="Times New Roman" w:hAnsi="Times New Roman"/>
                <w:b/>
                <w:sz w:val="18"/>
              </w:rPr>
              <w:t xml:space="preserve">Value (95% CI)</w:t>
            </w:r>
          </w:p>
        </w:tc>
      </w:tr>
      <w:tr>
        <w:tc>
          <w:tcPr/>
          <w:p>
            <w:pPr>
              <w:pStyle w:val="Compact"/>
              <w:spacing w:after="0"/>
              <w:jc w:val="left"/>
            </w:pPr>
            <w:r>
              <w:rPr>
                <w:rFonts w:ascii="Times New Roman" w:hAnsi="Times New Roman"/>
                <w:sz w:val="18"/>
              </w:rPr>
              <w:t xml:space="preserve">Held-out cases / subjects / reference sweeps</w:t>
            </w:r>
          </w:p>
        </w:tc>
        <w:tc>
          <w:tcPr/>
          <w:p>
            <w:pPr>
              <w:pStyle w:val="Compact"/>
              <w:spacing w:after="0"/>
              <w:jc w:val="left"/>
            </w:pPr>
            <w:r>
              <w:rPr>
                <w:rFonts w:ascii="Times New Roman" w:hAnsi="Times New Roman"/>
                <w:sz w:val="18"/>
              </w:rPr>
              <w:t xml:space="preserve">[ ] / [ ] / [ ]</w:t>
            </w:r>
          </w:p>
        </w:tc>
      </w:tr>
      <w:tr>
        <w:tc>
          <w:tcPr/>
          <w:p>
            <w:pPr>
              <w:pStyle w:val="Compact"/>
              <w:spacing w:after="0"/>
              <w:jc w:val="left"/>
            </w:pPr>
            <w:r>
              <w:rPr>
                <w:rFonts w:ascii="Times New Roman" w:hAnsi="Times New Roman"/>
                <w:sz w:val="18"/>
              </w:rPr>
              <w:t xml:space="preserve">Detection failures, n (%)</w:t>
            </w:r>
          </w:p>
        </w:tc>
        <w:tc>
          <w:tcPr/>
          <w:p>
            <w:pPr>
              <w:pStyle w:val="Compact"/>
              <w:spacing w:after="0"/>
              <w:jc w:val="left"/>
            </w:pPr>
            <w:r>
              <w:rPr>
                <w:rFonts w:ascii="Times New Roman" w:hAnsi="Times New Roman"/>
                <w:sz w:val="18"/>
              </w:rPr>
              <w:t xml:space="preserve">[ ]</w:t>
            </w:r>
          </w:p>
        </w:tc>
      </w:tr>
      <w:tr>
        <w:tc>
          <w:tcPr/>
          <w:p>
            <w:pPr>
              <w:pStyle w:val="Compact"/>
              <w:spacing w:after="0"/>
              <w:jc w:val="left"/>
            </w:pPr>
            <w:r>
              <w:rPr>
                <w:rFonts w:ascii="Times New Roman" w:hAnsi="Times New Roman"/>
                <w:sz w:val="18"/>
              </w:rPr>
              <w:t xml:space="preserve">Mean absolute error (mm)</w:t>
            </w:r>
          </w:p>
        </w:tc>
        <w:tc>
          <w:tcPr/>
          <w:p>
            <w:pPr>
              <w:pStyle w:val="Compact"/>
              <w:spacing w:after="0"/>
              <w:jc w:val="left"/>
            </w:pPr>
            <w:r>
              <w:rPr>
                <w:rFonts w:ascii="Times New Roman" w:hAnsi="Times New Roman"/>
                <w:sz w:val="18"/>
              </w:rPr>
              <w:t xml:space="preserve">[ ]</w:t>
            </w:r>
          </w:p>
        </w:tc>
      </w:tr>
      <w:tr>
        <w:tc>
          <w:tcPr/>
          <w:p>
            <w:pPr>
              <w:pStyle w:val="Compact"/>
              <w:spacing w:after="0"/>
              <w:jc w:val="left"/>
            </w:pPr>
            <w:r>
              <w:rPr>
                <w:rFonts w:ascii="Times New Roman" w:hAnsi="Times New Roman"/>
                <w:sz w:val="18"/>
              </w:rPr>
              <w:t xml:space="preserve">Median absolute error (mm)</w:t>
            </w:r>
          </w:p>
        </w:tc>
        <w:tc>
          <w:tcPr/>
          <w:p>
            <w:pPr>
              <w:pStyle w:val="Compact"/>
              <w:spacing w:after="0"/>
              <w:jc w:val="left"/>
            </w:pPr>
            <w:r>
              <w:rPr>
                <w:rFonts w:ascii="Times New Roman" w:hAnsi="Times New Roman"/>
                <w:sz w:val="18"/>
              </w:rPr>
              <w:t xml:space="preserve">[ ]</w:t>
            </w:r>
          </w:p>
        </w:tc>
      </w:tr>
      <w:tr>
        <w:tc>
          <w:tcPr/>
          <w:p>
            <w:pPr>
              <w:pStyle w:val="Compact"/>
              <w:spacing w:after="0"/>
              <w:jc w:val="left"/>
            </w:pPr>
            <w:r>
              <w:rPr>
                <w:rFonts w:ascii="Times New Roman" w:hAnsi="Times New Roman"/>
                <w:sz w:val="18"/>
              </w:rPr>
              <w:t xml:space="preserve">Bias, predicted − reference (mm)</w:t>
            </w:r>
          </w:p>
        </w:tc>
        <w:tc>
          <w:tcPr/>
          <w:p>
            <w:pPr>
              <w:pStyle w:val="Compact"/>
              <w:spacing w:after="0"/>
              <w:jc w:val="left"/>
            </w:pPr>
            <w:r>
              <w:rPr>
                <w:rFonts w:ascii="Times New Roman" w:hAnsi="Times New Roman"/>
                <w:sz w:val="18"/>
              </w:rPr>
              <w:t xml:space="preserve">[ ]</w:t>
            </w:r>
          </w:p>
        </w:tc>
      </w:tr>
      <w:tr>
        <w:tc>
          <w:tcPr/>
          <w:p>
            <w:pPr>
              <w:pStyle w:val="Compact"/>
              <w:spacing w:after="0"/>
              <w:jc w:val="left"/>
            </w:pPr>
            <w:r>
              <w:rPr>
                <w:rFonts w:ascii="Times New Roman" w:hAnsi="Times New Roman"/>
                <w:sz w:val="18"/>
              </w:rPr>
              <w:t xml:space="preserve">95% limits of agreement (mm)</w:t>
            </w:r>
          </w:p>
        </w:tc>
        <w:tc>
          <w:tcPr/>
          <w:p>
            <w:pPr>
              <w:pStyle w:val="Compact"/>
              <w:spacing w:after="0"/>
              <w:jc w:val="left"/>
            </w:pPr>
            <w:r>
              <w:rPr>
                <w:rFonts w:ascii="Times New Roman" w:hAnsi="Times New Roman"/>
                <w:sz w:val="18"/>
              </w:rPr>
              <w:t xml:space="preserve">[ ] to [ ]</w:t>
            </w:r>
          </w:p>
        </w:tc>
      </w:tr>
      <w:tr>
        <w:tc>
          <w:tcPr/>
          <w:p>
            <w:pPr>
              <w:pStyle w:val="Compact"/>
              <w:spacing w:after="0"/>
              <w:jc w:val="left"/>
            </w:pPr>
            <w:r>
              <w:rPr>
                <w:rFonts w:ascii="Times New Roman" w:hAnsi="Times New Roman"/>
                <w:sz w:val="18"/>
              </w:rPr>
              <w:t xml:space="preserve">Normalised absolute error</w:t>
            </w:r>
          </w:p>
        </w:tc>
        <w:tc>
          <w:tcPr/>
          <w:p>
            <w:pPr>
              <w:pStyle w:val="Compact"/>
              <w:spacing w:after="0"/>
              <w:jc w:val="left"/>
            </w:pPr>
            <w:r>
              <w:rPr>
                <w:rFonts w:ascii="Times New Roman" w:hAnsi="Times New Roman"/>
                <w:sz w:val="18"/>
              </w:rPr>
              <w:t xml:space="preserve">[ ]</w:t>
            </w:r>
          </w:p>
        </w:tc>
      </w:tr>
      <w:tr>
        <w:tc>
          <w:tcPr/>
          <w:p>
            <w:pPr>
              <w:pStyle w:val="Compact"/>
              <w:spacing w:after="0"/>
              <w:jc w:val="left"/>
            </w:pPr>
            <w:r>
              <w:rPr>
                <w:rFonts w:ascii="Times New Roman" w:hAnsi="Times New Roman"/>
                <w:sz w:val="18"/>
              </w:rPr>
              <w:t xml:space="preserve">Within ±8.8% of reference (%)</w:t>
            </w:r>
          </w:p>
        </w:tc>
        <w:tc>
          <w:tcPr/>
          <w:p>
            <w:pPr>
              <w:pStyle w:val="Compact"/>
              <w:spacing w:after="0"/>
              <w:jc w:val="left"/>
            </w:pPr>
            <w:r>
              <w:rPr>
                <w:rFonts w:ascii="Times New Roman" w:hAnsi="Times New Roman"/>
                <w:sz w:val="18"/>
              </w:rPr>
              <w:t xml:space="preserve">[ ]</w:t>
            </w:r>
          </w:p>
        </w:tc>
      </w:tr>
      <w:tr>
        <w:tc>
          <w:tcPr/>
          <w:p>
            <w:pPr>
              <w:pStyle w:val="Compact"/>
              <w:spacing w:after="0"/>
              <w:jc w:val="left"/>
            </w:pPr>
            <w:r>
              <w:rPr>
                <w:rFonts w:ascii="Times New Roman" w:hAnsi="Times New Roman"/>
                <w:sz w:val="18"/>
              </w:rPr>
              <w:t xml:space="preserve">Within ±10 mm (%)</w:t>
            </w:r>
          </w:p>
        </w:tc>
        <w:tc>
          <w:tcPr/>
          <w:p>
            <w:pPr>
              <w:pStyle w:val="Compact"/>
              <w:spacing w:after="0"/>
              <w:jc w:val="left"/>
            </w:pPr>
            <w:r>
              <w:rPr>
                <w:rFonts w:ascii="Times New Roman" w:hAnsi="Times New Roman"/>
                <w:sz w:val="18"/>
              </w:rPr>
              <w:t xml:space="preserve">[ ]</w:t>
            </w:r>
          </w:p>
        </w:tc>
      </w:tr>
    </w:tbl>
    <w:bookmarkEnd w:id="53"/>
    <w:bookmarkStart w:id="54" w:name="g.-synthetic-cohort-audit"/>
    <w:p>
      <w:pPr>
        <w:pStyle w:val="Heading3"/>
      </w:pPr>
      <w:r>
        <w:t xml:space="preserve">G. Synthetic Cohort Audit</w:t>
      </w:r>
    </w:p>
    <w:p>
      <w:pPr>
        <w:pStyle w:val="FirstParagraph"/>
      </w:pPr>
      <w:r>
        <w:t xml:space="preserve">CTGAN trained on the ten booking predictors and the GDM label reproduced pairwise correlations with a mean absolute difference of 0.061. A GDM model trained only on synthetic data and tested on real held-out women (TSTR) reached an AUROC of 0.504, essentially chance, compared with 0.699 for real-data training. Adding synthetic rows to real data lowered the AUROC to 0.601.</w:t>
      </w:r>
    </w:p>
    <w:p>
      <w:pPr>
        <w:pStyle w:val="BodyText"/>
      </w:pPr>
      <w:r>
        <w:t xml:space="preserve">The synthetic cohort is therefore suitable for sharing and demonstration, but not for training. It is not used by any clinical model in MDT-GEN. A DCR and membership-inference assessment [25], [26] is reported in the supplementary material [to be added].</w:t>
      </w:r>
    </w:p>
    <w:bookmarkEnd w:id="54"/>
    <w:bookmarkEnd w:id="55"/>
    <w:bookmarkStart w:id="61" w:name="vi.-ablation-study"/>
    <w:p>
      <w:pPr>
        <w:pStyle w:val="Heading2"/>
      </w:pPr>
      <w:r>
        <w:t xml:space="preserve">VI. Ablation Study</w:t>
      </w:r>
    </w:p>
    <w:p>
      <w:pPr>
        <w:pStyle w:val="FirstParagraph"/>
      </w:pPr>
      <w:r>
        <w:t xml:space="preserve">Three design choices change the results substantially: excluding OGTT glucose, not re-weighting classes, and defining macrosomia by absolute birthweight. Ensembling changes them very little.</w:t>
      </w:r>
    </w:p>
    <w:bookmarkStart w:id="56" w:name="a.-diagnostic-leakage"/>
    <w:p>
      <w:pPr>
        <w:pStyle w:val="Heading3"/>
      </w:pPr>
      <w:r>
        <w:t xml:space="preserve">A. Diagnostic Leakage</w:t>
      </w:r>
    </w:p>
    <w:p>
      <w:pPr>
        <w:pStyle w:val="FirstParagraph"/>
      </w:pPr>
      <w:r>
        <w:t xml:space="preserve">An earlier version of the pipeline added fasting and 2-hour OGTT glucose to the same booking predictors. It reached a held-out AUROC of 1.000, against 0.704 for the leakage-safe ensemble in that version.</w:t>
      </w:r>
    </w:p>
    <w:p>
      <w:pPr>
        <w:pStyle w:val="BodyText"/>
      </w:pPr>
      <w:r>
        <w:t xml:space="preserve">The near-perfect score is not predictive skill. OGTT glucose defines the GDM label, so including it reproduces the diagnosis instead of anticipating it. It is also recorded mainly in women already selected for testing. All results in Section V therefore exclude OGTT glucose.</w:t>
      </w:r>
    </w:p>
    <w:bookmarkEnd w:id="56"/>
    <w:bookmarkStart w:id="57" w:name="b.-class-weighting-vs-calibration"/>
    <w:p>
      <w:pPr>
        <w:pStyle w:val="Heading3"/>
      </w:pPr>
      <w:r>
        <w:t xml:space="preserve">B. Class Weighting vs Calibration</w:t>
      </w:r>
    </w:p>
    <w:p>
      <w:pPr>
        <w:pStyle w:val="FirstParagraph"/>
      </w:pPr>
      <w:r>
        <w:t xml:space="preserve">The same stacking ensemble was retrained with balanced class weights, as in the original pipeline (Table IX). Ranking is unchanged, but every probability is inflated about five-fold. The weighted model’s Brier score is worse than a constant prediction at the prevalence.</w:t>
      </w:r>
    </w:p>
    <w:p>
      <w:pPr>
        <w:pStyle w:val="BodyText"/>
      </w:pPr>
      <w:r>
        <w:rPr>
          <w:bCs/>
          <w:b/>
        </w:rPr>
        <w:t xml:space="preserve">TABLE IX — Effect of class weighting on the GDM stacking ensemble (held-out)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1"/>
        <w:gridCol w:w="1131"/>
        <w:gridCol w:w="1131"/>
        <w:gridCol w:w="1131"/>
        <w:gridCol w:w="1131"/>
        <w:gridCol w:w="1131"/>
        <w:gridCol w:w="1131"/>
      </w:tblGrid>
      <w:tr>
        <w:trPr>
          <w:tblHeader w:val="true"/>
        </w:trPr>
        <w:tc>
          <w:tcPr>
            <w:shd w:val="clear" w:color="auto" w:fill="E7E6E6"/>
          </w:tcPr>
          <w:p>
            <w:pPr>
              <w:pStyle w:val="Compact"/>
              <w:spacing w:after="0"/>
              <w:jc w:val="left"/>
            </w:pPr>
            <w:r>
              <w:rPr>
                <w:rFonts w:ascii="Times New Roman" w:hAnsi="Times New Roman"/>
                <w:b/>
                <w:sz w:val="18"/>
              </w:rPr>
              <w:t xml:space="preserve">Configuration</w:t>
            </w:r>
          </w:p>
        </w:tc>
        <w:tc>
          <w:tcPr>
            <w:shd w:val="clear" w:color="auto" w:fill="E7E6E6"/>
          </w:tcPr>
          <w:p>
            <w:pPr>
              <w:pStyle w:val="Compact"/>
              <w:spacing w:after="0"/>
              <w:jc w:val="left"/>
            </w:pPr>
            <w:r>
              <w:rPr>
                <w:rFonts w:ascii="Times New Roman" w:hAnsi="Times New Roman"/>
                <w:b/>
                <w:sz w:val="18"/>
              </w:rPr>
              <w:t xml:space="preserve">AUROC</w:t>
            </w:r>
          </w:p>
        </w:tc>
        <w:tc>
          <w:tcPr>
            <w:shd w:val="clear" w:color="auto" w:fill="E7E6E6"/>
          </w:tcPr>
          <w:p>
            <w:pPr>
              <w:pStyle w:val="Compact"/>
              <w:spacing w:after="0"/>
              <w:jc w:val="left"/>
            </w:pPr>
            <w:r>
              <w:rPr>
                <w:rFonts w:ascii="Times New Roman" w:hAnsi="Times New Roman"/>
                <w:b/>
                <w:sz w:val="18"/>
              </w:rPr>
              <w:t xml:space="preserve">Brier</w:t>
            </w:r>
          </w:p>
        </w:tc>
        <w:tc>
          <w:tcPr>
            <w:shd w:val="clear" w:color="auto" w:fill="E7E6E6"/>
          </w:tcPr>
          <w:p>
            <w:pPr>
              <w:pStyle w:val="Compact"/>
              <w:spacing w:after="0"/>
              <w:jc w:val="left"/>
            </w:pPr>
            <w:r>
              <w:rPr>
                <w:rFonts w:ascii="Times New Roman" w:hAnsi="Times New Roman"/>
                <w:b/>
                <w:sz w:val="18"/>
              </w:rPr>
              <w:t xml:space="preserve">Scaled Brier</w:t>
            </w:r>
          </w:p>
        </w:tc>
        <w:tc>
          <w:tcPr>
            <w:shd w:val="clear" w:color="auto" w:fill="E7E6E6"/>
          </w:tcPr>
          <w:p>
            <w:pPr>
              <w:pStyle w:val="Compact"/>
              <w:spacing w:after="0"/>
              <w:jc w:val="left"/>
            </w:pPr>
            <w:r>
              <w:rPr>
                <w:rFonts w:ascii="Times New Roman" w:hAnsi="Times New Roman"/>
                <w:b/>
                <w:sz w:val="18"/>
              </w:rPr>
              <w:t xml:space="preserve">Cal. intercept</w:t>
            </w:r>
          </w:p>
        </w:tc>
        <w:tc>
          <w:tcPr>
            <w:shd w:val="clear" w:color="auto" w:fill="E7E6E6"/>
          </w:tcPr>
          <w:p>
            <w:pPr>
              <w:pStyle w:val="Compact"/>
              <w:spacing w:after="0"/>
              <w:jc w:val="left"/>
            </w:pPr>
            <w:r>
              <w:rPr>
                <w:rFonts w:ascii="Times New Roman" w:hAnsi="Times New Roman"/>
                <w:b/>
                <w:sz w:val="18"/>
              </w:rPr>
              <w:t xml:space="preserve">Cal. slope</w:t>
            </w:r>
          </w:p>
        </w:tc>
        <w:tc>
          <w:tcPr>
            <w:shd w:val="clear" w:color="auto" w:fill="E7E6E6"/>
          </w:tcPr>
          <w:p>
            <w:pPr>
              <w:pStyle w:val="Compact"/>
              <w:spacing w:after="0"/>
              <w:jc w:val="left"/>
            </w:pPr>
            <w:r>
              <w:rPr>
                <w:rFonts w:ascii="Times New Roman" w:hAnsi="Times New Roman"/>
                <w:b/>
                <w:sz w:val="18"/>
              </w:rPr>
              <w:t xml:space="preserve">Mean predicted vs observed</w:t>
            </w:r>
          </w:p>
        </w:tc>
      </w:tr>
      <w:tr>
        <w:tc>
          <w:tcPr/>
          <w:p>
            <w:pPr>
              <w:pStyle w:val="Compact"/>
              <w:spacing w:after="0"/>
              <w:jc w:val="left"/>
            </w:pPr>
            <w:r>
              <w:rPr>
                <w:rFonts w:ascii="Times New Roman" w:hAnsi="Times New Roman"/>
                <w:sz w:val="18"/>
              </w:rPr>
              <w:t xml:space="preserve">Balanced class weights (original)</w:t>
            </w:r>
          </w:p>
        </w:tc>
        <w:tc>
          <w:tcPr/>
          <w:p>
            <w:pPr>
              <w:pStyle w:val="Compact"/>
              <w:spacing w:after="0"/>
              <w:jc w:val="left"/>
            </w:pPr>
            <w:r>
              <w:rPr>
                <w:rFonts w:ascii="Times New Roman" w:hAnsi="Times New Roman"/>
                <w:sz w:val="18"/>
              </w:rPr>
              <w:t xml:space="preserve">0.714</w:t>
            </w:r>
          </w:p>
        </w:tc>
        <w:tc>
          <w:tcPr/>
          <w:p>
            <w:pPr>
              <w:pStyle w:val="Compact"/>
              <w:spacing w:after="0"/>
              <w:jc w:val="left"/>
            </w:pPr>
            <w:r>
              <w:rPr>
                <w:rFonts w:ascii="Times New Roman" w:hAnsi="Times New Roman"/>
                <w:sz w:val="18"/>
              </w:rPr>
              <w:t xml:space="preserve">0.216</w:t>
            </w:r>
          </w:p>
        </w:tc>
        <w:tc>
          <w:tcPr/>
          <w:p>
            <w:pPr>
              <w:pStyle w:val="Compact"/>
              <w:spacing w:after="0"/>
              <w:jc w:val="left"/>
            </w:pPr>
            <w:r>
              <w:rPr>
                <w:rFonts w:ascii="Times New Roman" w:hAnsi="Times New Roman"/>
                <w:sz w:val="18"/>
              </w:rPr>
              <w:t xml:space="preserve">−1.968</w:t>
            </w:r>
          </w:p>
        </w:tc>
        <w:tc>
          <w:tcPr/>
          <w:p>
            <w:pPr>
              <w:pStyle w:val="Compact"/>
              <w:spacing w:after="0"/>
              <w:jc w:val="left"/>
            </w:pPr>
            <w:r>
              <w:rPr>
                <w:rFonts w:ascii="Times New Roman" w:hAnsi="Times New Roman"/>
                <w:sz w:val="18"/>
              </w:rPr>
              <w:t xml:space="preserve">−2.47</w:t>
            </w:r>
          </w:p>
        </w:tc>
        <w:tc>
          <w:tcPr/>
          <w:p>
            <w:pPr>
              <w:pStyle w:val="Compact"/>
              <w:spacing w:after="0"/>
              <w:jc w:val="left"/>
            </w:pPr>
            <w:r>
              <w:rPr>
                <w:rFonts w:ascii="Times New Roman" w:hAnsi="Times New Roman"/>
                <w:sz w:val="18"/>
              </w:rPr>
              <w:t xml:space="preserve">0.92</w:t>
            </w:r>
          </w:p>
        </w:tc>
        <w:tc>
          <w:tcPr/>
          <w:p>
            <w:pPr>
              <w:pStyle w:val="Compact"/>
              <w:spacing w:after="0"/>
              <w:jc w:val="left"/>
            </w:pPr>
            <w:r>
              <w:rPr>
                <w:rFonts w:ascii="Times New Roman" w:hAnsi="Times New Roman"/>
                <w:sz w:val="18"/>
              </w:rPr>
              <w:t xml:space="preserve">43.9% vs 7.9%</w:t>
            </w:r>
          </w:p>
        </w:tc>
      </w:tr>
      <w:tr>
        <w:tc>
          <w:tcPr/>
          <w:p>
            <w:pPr>
              <w:pStyle w:val="Compact"/>
              <w:spacing w:after="0"/>
              <w:jc w:val="left"/>
            </w:pPr>
            <w:r>
              <w:rPr>
                <w:rFonts w:ascii="Times New Roman" w:hAnsi="Times New Roman"/>
                <w:sz w:val="18"/>
              </w:rPr>
              <w:t xml:space="preserve">No class weights (proposed)</w:t>
            </w:r>
          </w:p>
        </w:tc>
        <w:tc>
          <w:tcPr/>
          <w:p>
            <w:pPr>
              <w:pStyle w:val="Compact"/>
              <w:spacing w:after="0"/>
              <w:jc w:val="left"/>
            </w:pPr>
            <w:r>
              <w:rPr>
                <w:rFonts w:ascii="Times New Roman" w:hAnsi="Times New Roman"/>
                <w:sz w:val="18"/>
              </w:rPr>
              <w:t xml:space="preserve">0.712</w:t>
            </w:r>
          </w:p>
        </w:tc>
        <w:tc>
          <w:tcPr/>
          <w:p>
            <w:pPr>
              <w:pStyle w:val="Compact"/>
              <w:spacing w:after="0"/>
              <w:jc w:val="left"/>
            </w:pPr>
            <w:r>
              <w:rPr>
                <w:rFonts w:ascii="Times New Roman" w:hAnsi="Times New Roman"/>
                <w:sz w:val="18"/>
              </w:rPr>
              <w:t xml:space="preserve">0.071</w:t>
            </w:r>
          </w:p>
        </w:tc>
        <w:tc>
          <w:tcPr/>
          <w:p>
            <w:pPr>
              <w:pStyle w:val="Compact"/>
              <w:spacing w:after="0"/>
              <w:jc w:val="left"/>
            </w:pPr>
            <w:r>
              <w:rPr>
                <w:rFonts w:ascii="Times New Roman" w:hAnsi="Times New Roman"/>
                <w:sz w:val="18"/>
              </w:rPr>
              <w:t xml:space="preserve">+0.030</w:t>
            </w:r>
          </w:p>
        </w:tc>
        <w:tc>
          <w:tcPr/>
          <w:p>
            <w:pPr>
              <w:pStyle w:val="Compact"/>
              <w:spacing w:after="0"/>
              <w:jc w:val="left"/>
            </w:pPr>
            <w:r>
              <w:rPr>
                <w:rFonts w:ascii="Times New Roman" w:hAnsi="Times New Roman"/>
                <w:sz w:val="18"/>
              </w:rPr>
              <w:t xml:space="preserve">0.00</w:t>
            </w:r>
          </w:p>
        </w:tc>
        <w:tc>
          <w:tcPr/>
          <w:p>
            <w:pPr>
              <w:pStyle w:val="Compact"/>
              <w:spacing w:after="0"/>
              <w:jc w:val="left"/>
            </w:pPr>
            <w:r>
              <w:rPr>
                <w:rFonts w:ascii="Times New Roman" w:hAnsi="Times New Roman"/>
                <w:sz w:val="18"/>
              </w:rPr>
              <w:t xml:space="preserve">0.96</w:t>
            </w:r>
          </w:p>
        </w:tc>
        <w:tc>
          <w:tcPr/>
          <w:p>
            <w:pPr>
              <w:pStyle w:val="Compact"/>
              <w:spacing w:after="0"/>
              <w:jc w:val="left"/>
            </w:pPr>
            <w:r>
              <w:rPr>
                <w:rFonts w:ascii="Times New Roman" w:hAnsi="Times New Roman"/>
                <w:sz w:val="18"/>
              </w:rPr>
              <w:t xml:space="preserve">7.9% vs 7.9%</w:t>
            </w:r>
          </w:p>
        </w:tc>
      </w:tr>
    </w:tbl>
    <w:p>
      <w:pPr>
        <w:pStyle w:val="BodyText"/>
      </w:pPr>
      <w:r>
        <w:t xml:space="preserve">For a dashboard that shows a percentage to clinicians, the unweighted model is the only one whose numbers can be read literally. Sensitivity is recovered by choosing a threshold on OOF predictions, not by distorting the probabilities.</w:t>
      </w:r>
    </w:p>
    <w:bookmarkEnd w:id="57"/>
    <w:bookmarkStart w:id="58" w:name="c.-base-learners-vs-stacking"/>
    <w:p>
      <w:pPr>
        <w:pStyle w:val="Heading3"/>
      </w:pPr>
      <w:r>
        <w:t xml:space="preserve">C. Base Learners vs Stacking</w:t>
      </w:r>
    </w:p>
    <w:p>
      <w:pPr>
        <w:pStyle w:val="FirstParagraph"/>
      </w:pPr>
      <w:r>
        <w:t xml:space="preserve">Across both outcomes, the stacking ensemble’s AUROC is within 0.004 of the best single base learner. Logistic regression alone reaches 0.714 for GDM and 0.629 for macrosomia (Tables V and VI).</w:t>
      </w:r>
    </w:p>
    <w:p>
      <w:pPr>
        <w:pStyle w:val="BodyText"/>
      </w:pPr>
      <w:r>
        <w:t xml:space="preserve">With ten mostly linear predictors, additional model capacity adds little. The ensemble is kept for robustness and continuity with earlier work. A logistic model would be an equally defensible, more transparent choice.</w:t>
      </w:r>
    </w:p>
    <w:bookmarkEnd w:id="58"/>
    <w:bookmarkStart w:id="59" w:name="d.-outcome-definition-for-macrosomia"/>
    <w:p>
      <w:pPr>
        <w:pStyle w:val="Heading3"/>
      </w:pPr>
      <w:r>
        <w:t xml:space="preserve">D. Outcome Definition for Macrosomia</w:t>
      </w:r>
    </w:p>
    <w:p>
      <w:pPr>
        <w:pStyle w:val="FirstParagraph"/>
      </w:pPr>
      <w:r>
        <w:t xml:space="preserve">Replacing the absolute threshold (birthweight ≥ 4000 g) with large-for-gestational-age (LGA, birthweight centile ≥ 90; test prevalence 11.9%) lowers the stacking AUROC from 0.640 to 0.562 (0.539–0.586). The calibration slope also worsens, from 1.31 to 1.43.</w:t>
      </w:r>
    </w:p>
    <w:p>
      <w:pPr>
        <w:pStyle w:val="BodyText"/>
      </w:pPr>
      <w:r>
        <w:t xml:space="preserve">Booking predictors carry more information about absolute size, which partly tracks maternal BMI and ethnicity, than about size relative to gestational age. The primary outcome is therefore birthweight ≥ 4000 g.</w:t>
      </w:r>
    </w:p>
    <w:bookmarkEnd w:id="59"/>
    <w:bookmarkStart w:id="60" w:name="e.-synthetic-augmentation"/>
    <w:p>
      <w:pPr>
        <w:pStyle w:val="Heading3"/>
      </w:pPr>
      <w:r>
        <w:t xml:space="preserve">E. Synthetic Augmentation</w:t>
      </w:r>
    </w:p>
    <w:p>
      <w:pPr>
        <w:pStyle w:val="FirstParagraph"/>
      </w:pPr>
      <w:r>
        <w:t xml:space="preserve">Adding CTGAN rows to the real training data lowered the GDM AUROC from 0.699 to 0.601 (Section V-G). An earlier variant labelled synthetic rows with the real model’s own predictions (pseudo-labelling). This adds no outcome information and was retired. The clinical models are trained on real data only.</w:t>
      </w:r>
    </w:p>
    <w:bookmarkEnd w:id="60"/>
    <w:bookmarkEnd w:id="61"/>
    <w:bookmarkStart w:id="69" w:name="vii.-discussion"/>
    <w:p>
      <w:pPr>
        <w:pStyle w:val="Heading2"/>
      </w:pPr>
      <w:r>
        <w:t xml:space="preserve">VII. Discussion</w:t>
      </w:r>
    </w:p>
    <w:p>
      <w:pPr>
        <w:pStyle w:val="FirstParagraph"/>
      </w:pPr>
      <w:r>
        <w:t xml:space="preserve">A useful digital twin for antenatal screening depends less on model complexity than on keeping each output tied to evidence that can support it.</w:t>
      </w:r>
    </w:p>
    <w:bookmarkStart w:id="62" w:name="a.-interpreting-the-core-findings"/>
    <w:p>
      <w:pPr>
        <w:pStyle w:val="Heading3"/>
      </w:pPr>
      <w:r>
        <w:t xml:space="preserve">A. Interpreting the Core Findings</w:t>
      </w:r>
    </w:p>
    <w:p>
      <w:pPr>
        <w:pStyle w:val="FirstParagraph"/>
      </w:pPr>
      <w:r>
        <w:t xml:space="preserve">The GDM booking model reaches an AUROC of 0.71 with near-perfect calibration. This is within the range reported for externally validated GDM models in the review by Seifu et al. [5], but it rests only on internal split-sample validation.</w:t>
      </w:r>
    </w:p>
    <w:p>
      <w:pPr>
        <w:pStyle w:val="BodyText"/>
      </w:pPr>
      <w:r>
        <w:t xml:space="preserve">The top-20% flag finds 43% of GDM cases at about twice the base-rate PPV. That suits targeted early testing, not diagnosis. The universal OGTT at 24–28 weeks remains the diagnostic standard [1], [40].</w:t>
      </w:r>
    </w:p>
    <w:p>
      <w:pPr>
        <w:pStyle w:val="BodyText"/>
      </w:pPr>
      <w:r>
        <w:t xml:space="preserve">The macrosomia booking model is weaker (AUROC 0.64). This matches the finding by Liu et al. [6] that accuracy improves as later-pregnancy information becomes available.</w:t>
      </w:r>
    </w:p>
    <w:bookmarkEnd w:id="62"/>
    <w:bookmarkStart w:id="63" w:name="Xffe6238f2152162008be7f0e4f2debf26996896"/>
    <w:p>
      <w:pPr>
        <w:pStyle w:val="Heading3"/>
      </w:pPr>
      <w:r>
        <w:t xml:space="preserve">B. Why Calibration Matters for a Digital Twin</w:t>
      </w:r>
    </w:p>
    <w:p>
      <w:pPr>
        <w:pStyle w:val="FirstParagraph"/>
      </w:pPr>
      <w:r>
        <w:t xml:space="preserve">A digital twin shows numbers to clinicians, so a probability must mean what it says. Class re-weighting, common in imbalanced-data pipelines, left the GDM ranking intact but shifted the mean predicted risk from 7.9% to 43.9% (Table IX). Every woman would have appeared high-risk.</w:t>
      </w:r>
    </w:p>
    <w:p>
      <w:pPr>
        <w:pStyle w:val="BodyText"/>
      </w:pPr>
      <w:r>
        <w:t xml:space="preserve">Re-training without weights and choosing the threshold on out-of-fold data fixed this without loss of discrimination. We recommend that antenatal prediction studies report calibration slope, calibration intercept and scaled Brier score alongside AUROC, as TRIPOD+AI requires [33].</w:t>
      </w:r>
    </w:p>
    <w:bookmarkEnd w:id="63"/>
    <w:bookmarkStart w:id="64" w:name="c.-the-two-stage-design-as-honest-fusion"/>
    <w:p>
      <w:pPr>
        <w:pStyle w:val="Heading3"/>
      </w:pPr>
      <w:r>
        <w:t xml:space="preserve">C. The Two-Stage Design as Honest Fusion</w:t>
      </w:r>
    </w:p>
    <w:p>
      <w:pPr>
        <w:pStyle w:val="FirstParagraph"/>
      </w:pPr>
      <w:r>
        <w:t xml:space="preserve">The maternal and ultrasound data come from different cohorts, so a learned fusion model could not be validated. MDT-GEN instead combines the stages with Bayes’ rule, using likelihood ratios from a systematic review of 63 accuracy studies [27].</w:t>
      </w:r>
    </w:p>
    <w:p>
      <w:pPr>
        <w:pStyle w:val="BodyText"/>
      </w:pPr>
      <w:r>
        <w:t xml:space="preserve">This keeps each part traceable. The booking risk is validated on 4,698 women, and the ultrasound criterion is validated in the literature. Their combination is labelled exploratory because it assumes the published likelihood ratios transfer to this population.</w:t>
      </w:r>
    </w:p>
    <w:p>
      <w:pPr>
        <w:pStyle w:val="BodyText"/>
      </w:pPr>
      <w:r>
        <w:t xml:space="preserve">The design also mirrors clinical workflow. Women at higher booking risk are prioritised for growth scans, and a positive late scan raises the estimated risk sharply. In the worked example, a 10% booking risk rose to 43% after a positive AC criterion.</w:t>
      </w:r>
    </w:p>
    <w:bookmarkEnd w:id="64"/>
    <w:bookmarkStart w:id="65" w:name="X9971ae51678ab0cdcb8099e59d979c277be49c9"/>
    <w:p>
      <w:pPr>
        <w:pStyle w:val="Heading3"/>
      </w:pPr>
      <w:r>
        <w:t xml:space="preserve">D. What the Neural ODE Can and Cannot Show</w:t>
      </w:r>
    </w:p>
    <w:p>
      <w:pPr>
        <w:pStyle w:val="FirstParagraph"/>
      </w:pPr>
      <w:r>
        <w:t xml:space="preserve">The Neural ODE audit is a cautionary result. A model trained with a single glucose value per woman produced trajectories that looked smooth and physiological in the dashboard, yet predicted held-out OGTT glucose worse than a constant (R² −2.2).</w:t>
      </w:r>
    </w:p>
    <w:p>
      <w:pPr>
        <w:pStyle w:val="BodyText"/>
      </w:pPr>
      <w:r>
        <w:t xml:space="preserve">The architecture itself is sound: on synthetic longitudinal data it forecast later weight with 0.87 kg error. The limitation is the data. A continuous-time twin needs repeated measurements, such as home glucose monitoring or serial antenatal visits, before its trajectories can be called forecasts.</w:t>
      </w:r>
    </w:p>
    <w:bookmarkEnd w:id="65"/>
    <w:bookmarkStart w:id="66" w:name="e.-comparison-with-existing-approaches"/>
    <w:p>
      <w:pPr>
        <w:pStyle w:val="Heading3"/>
      </w:pPr>
      <w:r>
        <w:t xml:space="preserve">E. Comparison with Existing Approaches</w:t>
      </w:r>
    </w:p>
    <w:p>
      <w:pPr>
        <w:pStyle w:val="FirstParagraph"/>
      </w:pPr>
      <w:r>
        <w:t xml:space="preserve">Many early GDM prediction studies report high accuracy when glucose measurements are included. Our ablation shows the same effect (AUROC 1.000) and explains why it does not reflect early prediction.</w:t>
      </w:r>
    </w:p>
    <w:p>
      <w:pPr>
        <w:pStyle w:val="BodyText"/>
      </w:pPr>
      <w:r>
        <w:t xml:space="preserve">Leakage-safe booking-stage models generally show moderate discrimination [4], [5]. Our results are consistent with this, and we also report calibration and net benefit. Exact comparison is limited by differences in cohorts, predictors and outcome definitions.</w:t>
      </w:r>
    </w:p>
    <w:bookmarkEnd w:id="66"/>
    <w:bookmarkStart w:id="67" w:name="f.-limitations"/>
    <w:p>
      <w:pPr>
        <w:pStyle w:val="Heading3"/>
      </w:pPr>
      <w:r>
        <w:t xml:space="preserve">F. Limitations</w:t>
      </w:r>
    </w:p>
    <w:p>
      <w:pPr>
        <w:numPr>
          <w:ilvl w:val="0"/>
          <w:numId w:val="1011"/>
        </w:numPr>
        <w:pStyle w:val="Compact"/>
      </w:pPr>
      <w:r>
        <w:rPr>
          <w:bCs/>
          <w:b/>
        </w:rPr>
        <w:t xml:space="preserve">Single-centre, internal validation.</w:t>
      </w:r>
      <w:r>
        <w:t xml:space="preserve"> </w:t>
      </w:r>
      <w:r>
        <w:t xml:space="preserve">All booking results come from one London hospital (2016–2019) with a random split. External and temporal validation are needed before clinical use [34].</w:t>
      </w:r>
    </w:p>
    <w:p>
      <w:pPr>
        <w:numPr>
          <w:ilvl w:val="0"/>
          <w:numId w:val="1011"/>
        </w:numPr>
        <w:pStyle w:val="Compact"/>
      </w:pPr>
      <w:r>
        <w:rPr>
          <w:bCs/>
          <w:b/>
        </w:rPr>
        <w:t xml:space="preserve">Booking timing.</w:t>
      </w:r>
      <w:r>
        <w:t xml:space="preserve"> </w:t>
      </w:r>
      <w:r>
        <w:t xml:space="preserve">About 23% of women booked after 12 weeks. Results for the ≤ 12-week subgroup are similar, but true first-trimester performance needs confirmation.</w:t>
      </w:r>
    </w:p>
    <w:p>
      <w:pPr>
        <w:numPr>
          <w:ilvl w:val="0"/>
          <w:numId w:val="1011"/>
        </w:numPr>
        <w:pStyle w:val="Compact"/>
      </w:pPr>
      <w:r>
        <w:rPr>
          <w:bCs/>
          <w:b/>
        </w:rPr>
        <w:t xml:space="preserve">Missing and informative predictors.</w:t>
      </w:r>
      <w:r>
        <w:t xml:space="preserve"> </w:t>
      </w:r>
      <w:r>
        <w:t xml:space="preserve">Blood pressure was missing for about 60% of women, and its missingness ranked among the top GDM predictors. This likely reflects recording practice and may not transfer to other sites.</w:t>
      </w:r>
    </w:p>
    <w:p>
      <w:pPr>
        <w:numPr>
          <w:ilvl w:val="0"/>
          <w:numId w:val="1011"/>
        </w:numPr>
        <w:pStyle w:val="Compact"/>
      </w:pPr>
      <w:r>
        <w:rPr>
          <w:bCs/>
          <w:b/>
        </w:rPr>
        <w:t xml:space="preserve">Unlinked modalities.</w:t>
      </w:r>
      <w:r>
        <w:t xml:space="preserve"> </w:t>
      </w:r>
      <w:r>
        <w:t xml:space="preserve">Fusion of booking risk and ultrasound uses published likelihood ratios that are not validated in this population. The criterion is applied only at ≥ 36 weeks.</w:t>
      </w:r>
    </w:p>
    <w:p>
      <w:pPr>
        <w:numPr>
          <w:ilvl w:val="0"/>
          <w:numId w:val="1011"/>
        </w:numPr>
        <w:pStyle w:val="Compact"/>
      </w:pPr>
      <w:r>
        <w:rPr>
          <w:bCs/>
          <w:b/>
        </w:rPr>
        <w:t xml:space="preserve">AC agreement pending.</w:t>
      </w:r>
      <w:r>
        <w:t xml:space="preserve"> </w:t>
      </w:r>
      <w:r>
        <w:t xml:space="preserve">Held-out AC agreement depends on the training split of the segmentation model, and Table VIII is completed only once that evaluation is run.</w:t>
      </w:r>
    </w:p>
    <w:p>
      <w:pPr>
        <w:numPr>
          <w:ilvl w:val="0"/>
          <w:numId w:val="1011"/>
        </w:numPr>
        <w:pStyle w:val="Compact"/>
      </w:pPr>
      <w:r>
        <w:rPr>
          <w:bCs/>
          <w:b/>
        </w:rPr>
        <w:t xml:space="preserve">Trajectories.</w:t>
      </w:r>
      <w:r>
        <w:t xml:space="preserve"> </w:t>
      </w:r>
      <w:r>
        <w:t xml:space="preserve">The Neural ODE trajectories are illustrative. The synthetic cohort is unsuitable for training (TSTR AUROC 0.50), and its privacy has not yet been tested by attack.</w:t>
      </w:r>
    </w:p>
    <w:bookmarkEnd w:id="67"/>
    <w:bookmarkStart w:id="68" w:name="g.-future-work"/>
    <w:p>
      <w:pPr>
        <w:pStyle w:val="Heading3"/>
      </w:pPr>
      <w:r>
        <w:t xml:space="preserve">G. Future Work</w:t>
      </w:r>
    </w:p>
    <w:p>
      <w:pPr>
        <w:numPr>
          <w:ilvl w:val="0"/>
          <w:numId w:val="1012"/>
        </w:numPr>
        <w:pStyle w:val="Compact"/>
      </w:pPr>
      <w:r>
        <w:t xml:space="preserve">Validate the booking models externally in Indian and other multi-ethnic cohorts.</w:t>
      </w:r>
    </w:p>
    <w:p>
      <w:pPr>
        <w:numPr>
          <w:ilvl w:val="0"/>
          <w:numId w:val="1012"/>
        </w:numPr>
        <w:pStyle w:val="Compact"/>
      </w:pPr>
      <w:r>
        <w:t xml:space="preserve">Collect linked booking, third-trimester ultrasound and birthweight data so that the two-stage pathway can be validated end to end.</w:t>
      </w:r>
    </w:p>
    <w:p>
      <w:pPr>
        <w:numPr>
          <w:ilvl w:val="0"/>
          <w:numId w:val="1012"/>
        </w:numPr>
        <w:pStyle w:val="Compact"/>
      </w:pPr>
      <w:r>
        <w:t xml:space="preserve">Train the Neural ODE on serial glucose and weight measurements.</w:t>
      </w:r>
    </w:p>
    <w:p>
      <w:pPr>
        <w:numPr>
          <w:ilvl w:val="0"/>
          <w:numId w:val="1012"/>
        </w:numPr>
        <w:pStyle w:val="Compact"/>
      </w:pPr>
      <w:r>
        <w:t xml:space="preserve">Add membership-inference testing to the synthetic-data audit.</w:t>
      </w:r>
    </w:p>
    <w:p>
      <w:pPr>
        <w:numPr>
          <w:ilvl w:val="0"/>
          <w:numId w:val="1012"/>
        </w:numPr>
        <w:pStyle w:val="Compact"/>
      </w:pPr>
      <w:r>
        <w:t xml:space="preserve">Extend the biometry module to head circumference and femur length, so that a four-parameter EFW can be computed automatically.</w:t>
      </w:r>
    </w:p>
    <w:bookmarkEnd w:id="68"/>
    <w:bookmarkEnd w:id="69"/>
    <w:bookmarkStart w:id="70" w:name="viii.-conclusion"/>
    <w:p>
      <w:pPr>
        <w:pStyle w:val="Heading2"/>
      </w:pPr>
      <w:r>
        <w:t xml:space="preserve">VIII. Conclusion</w:t>
      </w:r>
    </w:p>
    <w:p>
      <w:pPr>
        <w:pStyle w:val="FirstParagraph"/>
      </w:pPr>
      <w:r>
        <w:t xml:space="preserve">MDT-GEN is a maternal–fetal digital twin for early screening of GDM and macrosomia in which every displayed output is either validated or labelled as unvalidated.</w:t>
      </w:r>
    </w:p>
    <w:p>
      <w:pPr>
        <w:pStyle w:val="BodyText"/>
      </w:pPr>
      <w:r>
        <w:t xml:space="preserve">Using only ten predictors available at booking, the calibrated GDM model reached an AUROC of 0.712 and a Brier score of 0.071 on 4,698 held-out women. Its predicted risks match observed rates, so the percentages shown to clinicians can be read literally.</w:t>
      </w:r>
    </w:p>
    <w:p>
      <w:pPr>
        <w:pStyle w:val="BodyText"/>
      </w:pPr>
      <w:r>
        <w:t xml:space="preserve">Booking data alone screen for macrosomia only modestly (AUROC 0.640). MDT-GEN therefore uses the calibrated booking risk as the pre-test probability in a two-stage pathway, updated by a published third-trimester ultrasound criterion. Automated AC measurement on ACOUSLIC-AI blind sweeps supplies that criterion, with a reproducible held-out agreement protocol.</w:t>
      </w:r>
    </w:p>
    <w:p>
      <w:pPr>
        <w:pStyle w:val="BodyText"/>
      </w:pPr>
      <w:r>
        <w:t xml:space="preserve">The audits also showed where the evidence stops. Diagnostic glucose produced illusory accuracy. Class re-weighting inflated risks five-fold. The Neural ODE trajectories, smooth as they looked, could not be validated without repeated measurements.</w:t>
      </w:r>
    </w:p>
    <w:p>
      <w:pPr>
        <w:pStyle w:val="BodyText"/>
      </w:pPr>
      <w:r>
        <w:t xml:space="preserve">These findings point to the next steps: external validation, linked booking–ultrasound–outcome cohorts, and longitudinal monitoring data. With these, the twin’s trajectories could move from illustration to forecast.</w:t>
      </w:r>
    </w:p>
    <w:bookmarkEnd w:id="70"/>
    <w:bookmarkStart w:id="113" w:name="references"/>
    <w:p>
      <w:pPr>
        <w:pStyle w:val="Heading2"/>
      </w:pPr>
      <w:r>
        <w:t xml:space="preserve">References</w:t>
      </w:r>
    </w:p>
    <w:p>
      <w:pPr>
        <w:numPr>
          <w:ilvl w:val="0"/>
          <w:numId w:val="1013"/>
        </w:numPr>
        <w:pStyle w:val="Compact"/>
      </w:pPr>
      <w:r>
        <w:t xml:space="preserve">International Association of Diabetes and Pregnancy Study Groups Consensus Panel,</w:t>
      </w:r>
      <w:r>
        <w:t xml:space="preserve"> </w:t>
      </w:r>
      <w:r>
        <w:t xml:space="preserve">“</w:t>
      </w:r>
      <w:r>
        <w:t xml:space="preserve">International association of diabetes and pregnancy study groups recommendations on the diagnosis and classification of hyperglycemia in pregnancy,</w:t>
      </w:r>
      <w:r>
        <w:t xml:space="preserve">”</w:t>
      </w:r>
      <w:r>
        <w:t xml:space="preserve"> </w:t>
      </w:r>
      <w:r>
        <w:rPr>
          <w:iCs/>
          <w:i/>
        </w:rPr>
        <w:t xml:space="preserve">Diabetes Care</w:t>
      </w:r>
      <w:r>
        <w:t xml:space="preserve">, vol. 33, no. 3, pp. 676–682, 2010.</w:t>
      </w:r>
      <w:r>
        <w:t xml:space="preserve"> </w:t>
      </w:r>
      <w:hyperlink r:id="rId71">
        <w:r>
          <w:rPr>
            <w:rStyle w:val="Hyperlink"/>
          </w:rPr>
          <w:t xml:space="preserve">doi:10.2337/dc09-1848</w:t>
        </w:r>
      </w:hyperlink>
    </w:p>
    <w:p>
      <w:pPr>
        <w:numPr>
          <w:ilvl w:val="0"/>
          <w:numId w:val="1013"/>
        </w:numPr>
        <w:pStyle w:val="Compact"/>
      </w:pPr>
      <w:r>
        <w:t xml:space="preserve">HAPO Study Cooperative Research Group,</w:t>
      </w:r>
      <w:r>
        <w:t xml:space="preserve"> </w:t>
      </w:r>
      <w:r>
        <w:t xml:space="preserve">“</w:t>
      </w:r>
      <w:r>
        <w:t xml:space="preserve">Hyperglycemia and adverse pregnancy outcomes,</w:t>
      </w:r>
      <w:r>
        <w:t xml:space="preserve">”</w:t>
      </w:r>
      <w:r>
        <w:t xml:space="preserve"> </w:t>
      </w:r>
      <w:r>
        <w:rPr>
          <w:iCs/>
          <w:i/>
        </w:rPr>
        <w:t xml:space="preserve">N. Engl. J. Med.</w:t>
      </w:r>
      <w:r>
        <w:t xml:space="preserve">, vol. 358, pp. 1991–2002, 2008.</w:t>
      </w:r>
      <w:r>
        <w:t xml:space="preserve"> </w:t>
      </w:r>
      <w:hyperlink r:id="rId72">
        <w:r>
          <w:rPr>
            <w:rStyle w:val="Hyperlink"/>
          </w:rPr>
          <w:t xml:space="preserve">doi:10.1056/NEJMoa0707943</w:t>
        </w:r>
      </w:hyperlink>
    </w:p>
    <w:p>
      <w:pPr>
        <w:numPr>
          <w:ilvl w:val="0"/>
          <w:numId w:val="1013"/>
        </w:numPr>
        <w:pStyle w:val="Compact"/>
      </w:pPr>
      <w:r>
        <w:t xml:space="preserve">American Diabetes Association Professional Practice Committee,</w:t>
      </w:r>
      <w:r>
        <w:t xml:space="preserve"> </w:t>
      </w:r>
      <w:r>
        <w:t xml:space="preserve">“</w:t>
      </w:r>
      <w:r>
        <w:t xml:space="preserve">Management of diabetes in pregnancy: Standards of Care in Diabetes—2026,</w:t>
      </w:r>
      <w:r>
        <w:t xml:space="preserve">”</w:t>
      </w:r>
      <w:r>
        <w:t xml:space="preserve"> </w:t>
      </w:r>
      <w:r>
        <w:rPr>
          <w:iCs/>
          <w:i/>
        </w:rPr>
        <w:t xml:space="preserve">Diabetes Care</w:t>
      </w:r>
      <w:r>
        <w:t xml:space="preserve">, vol. 49, suppl. 1, pp. S321–S338, 2026.</w:t>
      </w:r>
      <w:r>
        <w:t xml:space="preserve"> </w:t>
      </w:r>
      <w:hyperlink r:id="rId73">
        <w:r>
          <w:rPr>
            <w:rStyle w:val="Hyperlink"/>
          </w:rPr>
          <w:t xml:space="preserve">doi:10.2337/dc26-S015</w:t>
        </w:r>
      </w:hyperlink>
    </w:p>
    <w:p>
      <w:pPr>
        <w:numPr>
          <w:ilvl w:val="0"/>
          <w:numId w:val="1013"/>
        </w:numPr>
        <w:pStyle w:val="Compact"/>
      </w:pPr>
      <w:r>
        <w:t xml:space="preserve">H. Zaky, E. Fthenou, L. Srour, et al.,</w:t>
      </w:r>
      <w:r>
        <w:t xml:space="preserve"> </w:t>
      </w:r>
      <w:r>
        <w:t xml:space="preserve">“</w:t>
      </w:r>
      <w:r>
        <w:t xml:space="preserve">Machine learning based model for the early detection of gestational diabetes mellitus,</w:t>
      </w:r>
      <w:r>
        <w:t xml:space="preserve">”</w:t>
      </w:r>
      <w:r>
        <w:t xml:space="preserve"> </w:t>
      </w:r>
      <w:r>
        <w:rPr>
          <w:iCs/>
          <w:i/>
        </w:rPr>
        <w:t xml:space="preserve">BMC Med. Inform. Decis. Mak.</w:t>
      </w:r>
      <w:r>
        <w:t xml:space="preserve">, vol. 25, p. 130, 2025.</w:t>
      </w:r>
      <w:r>
        <w:t xml:space="preserve"> </w:t>
      </w:r>
      <w:hyperlink r:id="rId74">
        <w:r>
          <w:rPr>
            <w:rStyle w:val="Hyperlink"/>
          </w:rPr>
          <w:t xml:space="preserve">doi:10.1186/s12911-025-02947-3</w:t>
        </w:r>
      </w:hyperlink>
    </w:p>
    <w:p>
      <w:pPr>
        <w:numPr>
          <w:ilvl w:val="0"/>
          <w:numId w:val="1013"/>
        </w:numPr>
        <w:pStyle w:val="Compact"/>
      </w:pPr>
      <w:r>
        <w:t xml:space="preserve">B. L. Seifu, Y. Belsti, N. B. Yimer, R. F. Goldstein, J. Enticott, and H. Teede,</w:t>
      </w:r>
      <w:r>
        <w:t xml:space="preserve"> </w:t>
      </w:r>
      <w:r>
        <w:t xml:space="preserve">“</w:t>
      </w:r>
      <w:r>
        <w:t xml:space="preserve">Externally validated risk prediction models for gestational diabetes mellitus: a systematic review and meta-analysis,</w:t>
      </w:r>
      <w:r>
        <w:t xml:space="preserve">”</w:t>
      </w:r>
      <w:r>
        <w:t xml:space="preserve"> </w:t>
      </w:r>
      <w:r>
        <w:rPr>
          <w:iCs/>
          <w:i/>
        </w:rPr>
        <w:t xml:space="preserve">Acta Obstet. Gynecol. Scand.</w:t>
      </w:r>
      <w:r>
        <w:t xml:space="preserve">, vol. 105, pp. 1918–1931, 2026.</w:t>
      </w:r>
      <w:r>
        <w:t xml:space="preserve"> </w:t>
      </w:r>
      <w:hyperlink r:id="rId75">
        <w:r>
          <w:rPr>
            <w:rStyle w:val="Hyperlink"/>
          </w:rPr>
          <w:t xml:space="preserve">doi:10.1111/aogs.70300</w:t>
        </w:r>
      </w:hyperlink>
    </w:p>
    <w:p>
      <w:pPr>
        <w:numPr>
          <w:ilvl w:val="0"/>
          <w:numId w:val="1013"/>
        </w:numPr>
        <w:pStyle w:val="Compact"/>
      </w:pPr>
      <w:r>
        <w:t xml:space="preserve">Q. Liu, S. Zhu, M. Zhao, et al.,</w:t>
      </w:r>
      <w:r>
        <w:t xml:space="preserve"> </w:t>
      </w:r>
      <w:r>
        <w:t xml:space="preserve">“</w:t>
      </w:r>
      <w:r>
        <w:t xml:space="preserve">Machine learning approaches for predicting fetal macrosomia at different stages of pregnancy: a retrospective study in China,</w:t>
      </w:r>
      <w:r>
        <w:t xml:space="preserve">”</w:t>
      </w:r>
      <w:r>
        <w:t xml:space="preserve"> </w:t>
      </w:r>
      <w:r>
        <w:rPr>
          <w:iCs/>
          <w:i/>
        </w:rPr>
        <w:t xml:space="preserve">BMC Pregnancy Childbirth</w:t>
      </w:r>
      <w:r>
        <w:t xml:space="preserve">, vol. 25, p. 140, 2025.</w:t>
      </w:r>
      <w:r>
        <w:t xml:space="preserve"> </w:t>
      </w:r>
      <w:hyperlink r:id="rId76">
        <w:r>
          <w:rPr>
            <w:rStyle w:val="Hyperlink"/>
          </w:rPr>
          <w:t xml:space="preserve">doi:10.1186/s12884-025-07239-2</w:t>
        </w:r>
      </w:hyperlink>
    </w:p>
    <w:p>
      <w:pPr>
        <w:numPr>
          <w:ilvl w:val="0"/>
          <w:numId w:val="1013"/>
        </w:numPr>
        <w:pStyle w:val="Compact"/>
      </w:pPr>
      <w:r>
        <w:t xml:space="preserve">J. Wang, X. Wang, Y. Yu, et al.,</w:t>
      </w:r>
      <w:r>
        <w:t xml:space="preserve"> </w:t>
      </w:r>
      <w:r>
        <w:t xml:space="preserve">“</w:t>
      </w:r>
      <w:r>
        <w:t xml:space="preserve">Development and validation of an explainable machine learning-based risk prediction model for macrosomia in Han Chinese women with singleton cephalic pregnancies,</w:t>
      </w:r>
      <w:r>
        <w:t xml:space="preserve">”</w:t>
      </w:r>
      <w:r>
        <w:t xml:space="preserve"> </w:t>
      </w:r>
      <w:r>
        <w:rPr>
          <w:iCs/>
          <w:i/>
        </w:rPr>
        <w:t xml:space="preserve">Sci. Rep.</w:t>
      </w:r>
      <w:r>
        <w:t xml:space="preserve">, 2026, online ahead of print.</w:t>
      </w:r>
      <w:r>
        <w:t xml:space="preserve"> </w:t>
      </w:r>
      <w:hyperlink r:id="rId77">
        <w:r>
          <w:rPr>
            <w:rStyle w:val="Hyperlink"/>
          </w:rPr>
          <w:t xml:space="preserve">doi:10.1038/s41598-026-65628-9</w:t>
        </w:r>
      </w:hyperlink>
    </w:p>
    <w:p>
      <w:pPr>
        <w:numPr>
          <w:ilvl w:val="0"/>
          <w:numId w:val="1013"/>
        </w:numPr>
        <w:pStyle w:val="Compact"/>
      </w:pPr>
      <w:r>
        <w:t xml:space="preserve">B. Björnsson, C. Borrebaeck, N. Elander, et al.,</w:t>
      </w:r>
      <w:r>
        <w:t xml:space="preserve"> </w:t>
      </w:r>
      <w:r>
        <w:t xml:space="preserve">“</w:t>
      </w:r>
      <w:r>
        <w:t xml:space="preserve">Digital twins to personalize medicine,</w:t>
      </w:r>
      <w:r>
        <w:t xml:space="preserve">”</w:t>
      </w:r>
      <w:r>
        <w:t xml:space="preserve"> </w:t>
      </w:r>
      <w:r>
        <w:rPr>
          <w:iCs/>
          <w:i/>
        </w:rPr>
        <w:t xml:space="preserve">Genome Med.</w:t>
      </w:r>
      <w:r>
        <w:t xml:space="preserve">, vol. 12, p. 4, 2020.</w:t>
      </w:r>
      <w:r>
        <w:t xml:space="preserve"> </w:t>
      </w:r>
      <w:hyperlink r:id="rId78">
        <w:r>
          <w:rPr>
            <w:rStyle w:val="Hyperlink"/>
          </w:rPr>
          <w:t xml:space="preserve">doi:10.1186/s13073-019-0701-3</w:t>
        </w:r>
      </w:hyperlink>
    </w:p>
    <w:p>
      <w:pPr>
        <w:numPr>
          <w:ilvl w:val="0"/>
          <w:numId w:val="1013"/>
        </w:numPr>
        <w:pStyle w:val="Compact"/>
      </w:pPr>
      <w:r>
        <w:t xml:space="preserve">E. Katsoulakis, Q. Wang, H. Wu, et al.,</w:t>
      </w:r>
      <w:r>
        <w:t xml:space="preserve"> </w:t>
      </w:r>
      <w:r>
        <w:t xml:space="preserve">“</w:t>
      </w:r>
      <w:r>
        <w:t xml:space="preserve">Digital twins for health: a scoping review,</w:t>
      </w:r>
      <w:r>
        <w:t xml:space="preserve">”</w:t>
      </w:r>
      <w:r>
        <w:t xml:space="preserve"> </w:t>
      </w:r>
      <w:r>
        <w:rPr>
          <w:iCs/>
          <w:i/>
        </w:rPr>
        <w:t xml:space="preserve">npj Digit. Med.</w:t>
      </w:r>
      <w:r>
        <w:t xml:space="preserve">, vol. 7, p. 77, 2024.</w:t>
      </w:r>
      <w:r>
        <w:t xml:space="preserve"> </w:t>
      </w:r>
      <w:hyperlink r:id="rId79">
        <w:r>
          <w:rPr>
            <w:rStyle w:val="Hyperlink"/>
          </w:rPr>
          <w:t xml:space="preserve">doi:10.1038/s41746-024-01073-0</w:t>
        </w:r>
      </w:hyperlink>
    </w:p>
    <w:p>
      <w:pPr>
        <w:numPr>
          <w:ilvl w:val="0"/>
          <w:numId w:val="1013"/>
        </w:numPr>
        <w:pStyle w:val="Compact"/>
      </w:pPr>
      <w:r>
        <w:t xml:space="preserve">R. T. Q. Chen, Y. Rubanova, J. Bettencourt, and D. Duvenaud,</w:t>
      </w:r>
      <w:r>
        <w:t xml:space="preserve"> </w:t>
      </w:r>
      <w:r>
        <w:t xml:space="preserve">“</w:t>
      </w:r>
      <w:r>
        <w:t xml:space="preserve">Neural ordinary differential equations,</w:t>
      </w:r>
      <w:r>
        <w:t xml:space="preserve">”</w:t>
      </w:r>
      <w:r>
        <w:t xml:space="preserve"> </w:t>
      </w:r>
      <w:r>
        <w:t xml:space="preserve">in</w:t>
      </w:r>
      <w:r>
        <w:t xml:space="preserve"> </w:t>
      </w:r>
      <w:r>
        <w:rPr>
          <w:iCs/>
          <w:i/>
        </w:rPr>
        <w:t xml:space="preserve">Adv. Neural Inf. Process. Syst. 31</w:t>
      </w:r>
      <w:r>
        <w:t xml:space="preserve">, 2018, pp. 6571–6583.</w:t>
      </w:r>
      <w:r>
        <w:t xml:space="preserve"> </w:t>
      </w:r>
      <w:hyperlink r:id="rId80">
        <w:r>
          <w:rPr>
            <w:rStyle w:val="Hyperlink"/>
          </w:rPr>
          <w:t xml:space="preserve">link</w:t>
        </w:r>
      </w:hyperlink>
    </w:p>
    <w:p>
      <w:pPr>
        <w:numPr>
          <w:ilvl w:val="0"/>
          <w:numId w:val="1013"/>
        </w:numPr>
        <w:pStyle w:val="Compact"/>
      </w:pPr>
      <w:r>
        <w:t xml:space="preserve">A. T. Papageorghiou, E. O. Ohuma, D. G. Altman, et al.,</w:t>
      </w:r>
      <w:r>
        <w:t xml:space="preserve"> </w:t>
      </w:r>
      <w:r>
        <w:t xml:space="preserve">“</w:t>
      </w:r>
      <w:r>
        <w:t xml:space="preserve">International standards for fetal growth based on serial ultrasound measurements: the Fetal Growth Longitudinal Study of the INTERGROWTH-21st Project,</w:t>
      </w:r>
      <w:r>
        <w:t xml:space="preserve">”</w:t>
      </w:r>
      <w:r>
        <w:t xml:space="preserve"> </w:t>
      </w:r>
      <w:r>
        <w:rPr>
          <w:iCs/>
          <w:i/>
        </w:rPr>
        <w:t xml:space="preserve">Lancet</w:t>
      </w:r>
      <w:r>
        <w:t xml:space="preserve">, vol. 384, no. 9946, pp. 869–879, 2014.</w:t>
      </w:r>
      <w:r>
        <w:t xml:space="preserve"> </w:t>
      </w:r>
      <w:hyperlink r:id="rId81">
        <w:r>
          <w:rPr>
            <w:rStyle w:val="Hyperlink"/>
          </w:rPr>
          <w:t xml:space="preserve">doi:10.1016/S0140-6736(14)61490-2</w:t>
        </w:r>
      </w:hyperlink>
    </w:p>
    <w:p>
      <w:pPr>
        <w:numPr>
          <w:ilvl w:val="0"/>
          <w:numId w:val="1013"/>
        </w:numPr>
        <w:pStyle w:val="Compact"/>
      </w:pPr>
      <w:r>
        <w:t xml:space="preserve">J. Stirnemann, J. Villar, L. J. Salomon, et al.,</w:t>
      </w:r>
      <w:r>
        <w:t xml:space="preserve"> </w:t>
      </w:r>
      <w:r>
        <w:t xml:space="preserve">“</w:t>
      </w:r>
      <w:r>
        <w:t xml:space="preserve">International estimated fetal weight standards of the INTERGROWTH-21st Project,</w:t>
      </w:r>
      <w:r>
        <w:t xml:space="preserve">”</w:t>
      </w:r>
      <w:r>
        <w:t xml:space="preserve"> </w:t>
      </w:r>
      <w:r>
        <w:rPr>
          <w:iCs/>
          <w:i/>
        </w:rPr>
        <w:t xml:space="preserve">Ultrasound Obstet. Gynecol.</w:t>
      </w:r>
      <w:r>
        <w:t xml:space="preserve">, vol. 49, no. 4, pp. 478–486, 2017.</w:t>
      </w:r>
      <w:r>
        <w:t xml:space="preserve"> </w:t>
      </w:r>
      <w:hyperlink r:id="rId82">
        <w:r>
          <w:rPr>
            <w:rStyle w:val="Hyperlink"/>
          </w:rPr>
          <w:t xml:space="preserve">doi:10.1002/uog.17347</w:t>
        </w:r>
      </w:hyperlink>
    </w:p>
    <w:p>
      <w:pPr>
        <w:numPr>
          <w:ilvl w:val="0"/>
          <w:numId w:val="1013"/>
        </w:numPr>
        <w:pStyle w:val="Compact"/>
      </w:pPr>
      <w:r>
        <w:t xml:space="preserve">L. J. Salomon, Z. Alfirevic, F. Da Silva Costa, et al.,</w:t>
      </w:r>
      <w:r>
        <w:t xml:space="preserve"> </w:t>
      </w:r>
      <w:r>
        <w:t xml:space="preserve">“</w:t>
      </w:r>
      <w:r>
        <w:t xml:space="preserve">ISUOG Practice Guidelines: ultrasound assessment of fetal biometry and growth,</w:t>
      </w:r>
      <w:r>
        <w:t xml:space="preserve">”</w:t>
      </w:r>
      <w:r>
        <w:t xml:space="preserve"> </w:t>
      </w:r>
      <w:r>
        <w:rPr>
          <w:iCs/>
          <w:i/>
        </w:rPr>
        <w:t xml:space="preserve">Ultrasound Obstet. Gynecol.</w:t>
      </w:r>
      <w:r>
        <w:t xml:space="preserve">, vol. 53, no. 6, pp. 715–723, 2019.</w:t>
      </w:r>
      <w:r>
        <w:t xml:space="preserve"> </w:t>
      </w:r>
      <w:hyperlink r:id="rId83">
        <w:r>
          <w:rPr>
            <w:rStyle w:val="Hyperlink"/>
          </w:rPr>
          <w:t xml:space="preserve">doi:10.1002/uog.20272</w:t>
        </w:r>
      </w:hyperlink>
    </w:p>
    <w:p>
      <w:pPr>
        <w:numPr>
          <w:ilvl w:val="0"/>
          <w:numId w:val="1013"/>
        </w:numPr>
        <w:pStyle w:val="Compact"/>
      </w:pPr>
      <w:r>
        <w:t xml:space="preserve">H. Y. Choi, J. H. Kim, J. Y. Park, E. Y. Jung, J. H. No, K. J. Oh, and J.-S. Hong,</w:t>
      </w:r>
      <w:r>
        <w:t xml:space="preserve"> </w:t>
      </w:r>
      <w:r>
        <w:t xml:space="preserve">“</w:t>
      </w:r>
      <w:r>
        <w:t xml:space="preserve">Simple mathematical formulae for estimation of median values of fetal biometry at each gestational age,</w:t>
      </w:r>
      <w:r>
        <w:t xml:space="preserve">”</w:t>
      </w:r>
      <w:r>
        <w:t xml:space="preserve"> </w:t>
      </w:r>
      <w:r>
        <w:rPr>
          <w:iCs/>
          <w:i/>
        </w:rPr>
        <w:t xml:space="preserve">Obstet. Gynecol. Sci.</w:t>
      </w:r>
      <w:r>
        <w:t xml:space="preserve">, vol. 59, no. 2, pp. 91–96, 2016.</w:t>
      </w:r>
      <w:r>
        <w:t xml:space="preserve"> </w:t>
      </w:r>
      <w:hyperlink r:id="rId84">
        <w:r>
          <w:rPr>
            <w:rStyle w:val="Hyperlink"/>
          </w:rPr>
          <w:t xml:space="preserve">doi:10.5468/ogs.2016.59.2.91</w:t>
        </w:r>
      </w:hyperlink>
    </w:p>
    <w:p>
      <w:pPr>
        <w:numPr>
          <w:ilvl w:val="0"/>
          <w:numId w:val="1013"/>
        </w:numPr>
        <w:pStyle w:val="Compact"/>
      </w:pPr>
      <w:r>
        <w:t xml:space="preserve">I. Sarris, C. Ioannou, P. Chamberlain, et al.,</w:t>
      </w:r>
      <w:r>
        <w:t xml:space="preserve"> </w:t>
      </w:r>
      <w:r>
        <w:t xml:space="preserve">“</w:t>
      </w:r>
      <w:r>
        <w:t xml:space="preserve">Intra- and interobserver variability in fetal ultrasound measurements,</w:t>
      </w:r>
      <w:r>
        <w:t xml:space="preserve">”</w:t>
      </w:r>
      <w:r>
        <w:t xml:space="preserve"> </w:t>
      </w:r>
      <w:r>
        <w:rPr>
          <w:iCs/>
          <w:i/>
        </w:rPr>
        <w:t xml:space="preserve">Ultrasound Obstet. Gynecol.</w:t>
      </w:r>
      <w:r>
        <w:t xml:space="preserve">, vol. 39, no. 3, pp. 266–273, 2012.</w:t>
      </w:r>
      <w:r>
        <w:t xml:space="preserve"> </w:t>
      </w:r>
      <w:hyperlink r:id="rId85">
        <w:r>
          <w:rPr>
            <w:rStyle w:val="Hyperlink"/>
          </w:rPr>
          <w:t xml:space="preserve">doi:10.1002/uog.10082</w:t>
        </w:r>
      </w:hyperlink>
    </w:p>
    <w:p>
      <w:pPr>
        <w:numPr>
          <w:ilvl w:val="0"/>
          <w:numId w:val="1013"/>
        </w:numPr>
        <w:pStyle w:val="Compact"/>
      </w:pPr>
      <w:r>
        <w:t xml:space="preserve">F. P. Hadlock, R. B. Harrist, R. J. Carpenter, R. L. Deter, and S. K. Park,</w:t>
      </w:r>
      <w:r>
        <w:t xml:space="preserve"> </w:t>
      </w:r>
      <w:r>
        <w:t xml:space="preserve">“</w:t>
      </w:r>
      <w:r>
        <w:t xml:space="preserve">Sonographic estimation of fetal weight: the value of femur length in addition to head and abdomen measurements,</w:t>
      </w:r>
      <w:r>
        <w:t xml:space="preserve">”</w:t>
      </w:r>
      <w:r>
        <w:t xml:space="preserve"> </w:t>
      </w:r>
      <w:r>
        <w:rPr>
          <w:iCs/>
          <w:i/>
        </w:rPr>
        <w:t xml:space="preserve">Radiology</w:t>
      </w:r>
      <w:r>
        <w:t xml:space="preserve">, vol. 150, no. 2, pp. 535–540, 1984.</w:t>
      </w:r>
      <w:r>
        <w:t xml:space="preserve"> </w:t>
      </w:r>
      <w:hyperlink r:id="rId86">
        <w:r>
          <w:rPr>
            <w:rStyle w:val="Hyperlink"/>
          </w:rPr>
          <w:t xml:space="preserve">doi:10.1148/radiology.150.2.6691115</w:t>
        </w:r>
      </w:hyperlink>
    </w:p>
    <w:p>
      <w:pPr>
        <w:numPr>
          <w:ilvl w:val="0"/>
          <w:numId w:val="1013"/>
        </w:numPr>
        <w:pStyle w:val="Compact"/>
      </w:pPr>
      <w:r>
        <w:t xml:space="preserve">S. Campbell and D. Wilkin,</w:t>
      </w:r>
      <w:r>
        <w:t xml:space="preserve"> </w:t>
      </w:r>
      <w:r>
        <w:t xml:space="preserve">“</w:t>
      </w:r>
      <w:r>
        <w:t xml:space="preserve">Ultrasonic measurement of fetal abdomen circumference in the estimation of fetal weight,</w:t>
      </w:r>
      <w:r>
        <w:t xml:space="preserve">”</w:t>
      </w:r>
      <w:r>
        <w:t xml:space="preserve"> </w:t>
      </w:r>
      <w:r>
        <w:rPr>
          <w:iCs/>
          <w:i/>
        </w:rPr>
        <w:t xml:space="preserve">Br. J. Obstet. Gynaecol.</w:t>
      </w:r>
      <w:r>
        <w:t xml:space="preserve">, vol. 82, no. 9, pp. 689–697, 1975.</w:t>
      </w:r>
      <w:r>
        <w:t xml:space="preserve"> </w:t>
      </w:r>
      <w:hyperlink r:id="rId87">
        <w:r>
          <w:rPr>
            <w:rStyle w:val="Hyperlink"/>
          </w:rPr>
          <w:t xml:space="preserve">doi:10.1111/j.1471-0528.1975.tb00708.x</w:t>
        </w:r>
      </w:hyperlink>
    </w:p>
    <w:p>
      <w:pPr>
        <w:numPr>
          <w:ilvl w:val="0"/>
          <w:numId w:val="1013"/>
        </w:numPr>
        <w:pStyle w:val="Compact"/>
      </w:pPr>
      <w:r>
        <w:t xml:space="preserve">M. S. Sappia, C. L. de Korte, B. van Ginneken, et al.,</w:t>
      </w:r>
      <w:r>
        <w:t xml:space="preserve"> </w:t>
      </w:r>
      <w:r>
        <w:t xml:space="preserve">“</w:t>
      </w:r>
      <w:r>
        <w:t xml:space="preserve">ACOUSLIC-AI challenge report: fetal abdominal circumference measurement on blind-sweep ultrasound data from low-income countries,</w:t>
      </w:r>
      <w:r>
        <w:t xml:space="preserve">”</w:t>
      </w:r>
      <w:r>
        <w:t xml:space="preserve"> </w:t>
      </w:r>
      <w:r>
        <w:rPr>
          <w:iCs/>
          <w:i/>
        </w:rPr>
        <w:t xml:space="preserve">Med. Image Anal.</w:t>
      </w:r>
      <w:r>
        <w:t xml:space="preserve">, vol. 105, p. 103640, 2025.</w:t>
      </w:r>
      <w:r>
        <w:t xml:space="preserve"> </w:t>
      </w:r>
      <w:hyperlink r:id="rId88">
        <w:r>
          <w:rPr>
            <w:rStyle w:val="Hyperlink"/>
          </w:rPr>
          <w:t xml:space="preserve">doi:10.1016/j.media.2025.103640</w:t>
        </w:r>
      </w:hyperlink>
    </w:p>
    <w:p>
      <w:pPr>
        <w:numPr>
          <w:ilvl w:val="0"/>
          <w:numId w:val="1013"/>
        </w:numPr>
        <w:pStyle w:val="Compact"/>
      </w:pPr>
      <w:r>
        <w:t xml:space="preserve">M. S. Sappia,</w:t>
      </w:r>
      <w:r>
        <w:t xml:space="preserve"> </w:t>
      </w:r>
      <w:r>
        <w:t xml:space="preserve">“</w:t>
      </w:r>
      <w:r>
        <w:t xml:space="preserve">ACOUSLIC-AI: Abdominal Circumference Operator-agnostic UltraSound measurement in Low-Income Countries using Artificial Intelligence,</w:t>
      </w:r>
      <w:r>
        <w:t xml:space="preserve">”</w:t>
      </w:r>
      <w:r>
        <w:t xml:space="preserve"> </w:t>
      </w:r>
      <w:r>
        <w:t xml:space="preserve">dataset v1.1, Zenodo, 2024.</w:t>
      </w:r>
      <w:r>
        <w:t xml:space="preserve"> </w:t>
      </w:r>
      <w:hyperlink r:id="rId89">
        <w:r>
          <w:rPr>
            <w:rStyle w:val="Hyperlink"/>
          </w:rPr>
          <w:t xml:space="preserve">doi:10.5281/zenodo.12697994</w:t>
        </w:r>
      </w:hyperlink>
    </w:p>
    <w:p>
      <w:pPr>
        <w:numPr>
          <w:ilvl w:val="0"/>
          <w:numId w:val="1013"/>
        </w:numPr>
        <w:pStyle w:val="Compact"/>
      </w:pPr>
      <w:r>
        <w:t xml:space="preserve">J. Jang, Y. Park, B. Kim, S. M. Lee, J.-Y. Kwon, and J. K. Seo,</w:t>
      </w:r>
      <w:r>
        <w:t xml:space="preserve"> </w:t>
      </w:r>
      <w:r>
        <w:t xml:space="preserve">“</w:t>
      </w:r>
      <w:r>
        <w:t xml:space="preserve">Automatic estimation of fetal abdominal circumference from ultrasound images,</w:t>
      </w:r>
      <w:r>
        <w:t xml:space="preserve">”</w:t>
      </w:r>
      <w:r>
        <w:t xml:space="preserve"> </w:t>
      </w:r>
      <w:r>
        <w:rPr>
          <w:iCs/>
          <w:i/>
        </w:rPr>
        <w:t xml:space="preserve">IEEE J. Biomed. Health Inform.</w:t>
      </w:r>
      <w:r>
        <w:t xml:space="preserve">, vol. 22, no. 5, pp. 1512–1520, 2018.</w:t>
      </w:r>
      <w:r>
        <w:t xml:space="preserve"> </w:t>
      </w:r>
      <w:hyperlink r:id="rId90">
        <w:r>
          <w:rPr>
            <w:rStyle w:val="Hyperlink"/>
          </w:rPr>
          <w:t xml:space="preserve">doi:10.1109/JBHI.2017.2776116</w:t>
        </w:r>
      </w:hyperlink>
    </w:p>
    <w:p>
      <w:pPr>
        <w:numPr>
          <w:ilvl w:val="0"/>
          <w:numId w:val="1013"/>
        </w:numPr>
        <w:pStyle w:val="Compact"/>
      </w:pPr>
      <w:r>
        <w:t xml:space="preserve">O. Ronneberger, P. Fischer, and T. Brox,</w:t>
      </w:r>
      <w:r>
        <w:t xml:space="preserve"> </w:t>
      </w:r>
      <w:r>
        <w:t xml:space="preserve">“</w:t>
      </w:r>
      <w:r>
        <w:t xml:space="preserve">U-Net: convolutional networks for biomedical image segmentation,</w:t>
      </w:r>
      <w:r>
        <w:t xml:space="preserve">”</w:t>
      </w:r>
      <w:r>
        <w:t xml:space="preserve"> </w:t>
      </w:r>
      <w:r>
        <w:t xml:space="preserve">in</w:t>
      </w:r>
      <w:r>
        <w:t xml:space="preserve"> </w:t>
      </w:r>
      <w:r>
        <w:rPr>
          <w:iCs/>
          <w:i/>
        </w:rPr>
        <w:t xml:space="preserve">Proc. MICCAI</w:t>
      </w:r>
      <w:r>
        <w:t xml:space="preserve">, 2015, pp. 234–241.</w:t>
      </w:r>
      <w:r>
        <w:t xml:space="preserve"> </w:t>
      </w:r>
      <w:hyperlink r:id="rId91">
        <w:r>
          <w:rPr>
            <w:rStyle w:val="Hyperlink"/>
          </w:rPr>
          <w:t xml:space="preserve">doi:10.1007/978-3-319-24574-4_28</w:t>
        </w:r>
      </w:hyperlink>
    </w:p>
    <w:p>
      <w:pPr>
        <w:numPr>
          <w:ilvl w:val="0"/>
          <w:numId w:val="1013"/>
        </w:numPr>
        <w:pStyle w:val="Compact"/>
      </w:pPr>
      <w:r>
        <w:t xml:space="preserve">O. Oktay, J. Schlemper, L. Le Folgoc, et al.,</w:t>
      </w:r>
      <w:r>
        <w:t xml:space="preserve"> </w:t>
      </w:r>
      <w:r>
        <w:t xml:space="preserve">“</w:t>
      </w:r>
      <w:r>
        <w:t xml:space="preserve">Attention U-Net: learning where to look for the pancreas,</w:t>
      </w:r>
      <w:r>
        <w:t xml:space="preserve">”</w:t>
      </w:r>
      <w:r>
        <w:t xml:space="preserve"> </w:t>
      </w:r>
      <w:r>
        <w:t xml:space="preserve">arXiv:1804.03999, 2018.</w:t>
      </w:r>
      <w:r>
        <w:t xml:space="preserve"> </w:t>
      </w:r>
      <w:hyperlink r:id="rId92">
        <w:r>
          <w:rPr>
            <w:rStyle w:val="Hyperlink"/>
          </w:rPr>
          <w:t xml:space="preserve">link</w:t>
        </w:r>
      </w:hyperlink>
    </w:p>
    <w:p>
      <w:pPr>
        <w:numPr>
          <w:ilvl w:val="0"/>
          <w:numId w:val="1013"/>
        </w:numPr>
        <w:pStyle w:val="Compact"/>
      </w:pPr>
      <w:r>
        <w:t xml:space="preserve">S. Ramanujan,</w:t>
      </w:r>
      <w:r>
        <w:t xml:space="preserve"> </w:t>
      </w:r>
      <w:r>
        <w:t xml:space="preserve">“</w:t>
      </w:r>
      <w:r>
        <w:t xml:space="preserve">Modular equations and approximations to π,</w:t>
      </w:r>
      <w:r>
        <w:t xml:space="preserve">”</w:t>
      </w:r>
      <w:r>
        <w:t xml:space="preserve"> </w:t>
      </w:r>
      <w:r>
        <w:rPr>
          <w:iCs/>
          <w:i/>
        </w:rPr>
        <w:t xml:space="preserve">Q. J. Math.</w:t>
      </w:r>
      <w:r>
        <w:t xml:space="preserve">, vol. 45, pp. 350–372, 1914.</w:t>
      </w:r>
      <w:r>
        <w:t xml:space="preserve"> </w:t>
      </w:r>
      <w:hyperlink r:id="rId93">
        <w:r>
          <w:rPr>
            <w:rStyle w:val="Hyperlink"/>
          </w:rPr>
          <w:t xml:space="preserve">scan</w:t>
        </w:r>
      </w:hyperlink>
    </w:p>
    <w:p>
      <w:pPr>
        <w:numPr>
          <w:ilvl w:val="0"/>
          <w:numId w:val="1013"/>
        </w:numPr>
        <w:pStyle w:val="Compact"/>
      </w:pPr>
      <w:r>
        <w:t xml:space="preserve">L. Xu, M. Skoularidou, A. Cuesta-Infante, and K. Veeramachaneni,</w:t>
      </w:r>
      <w:r>
        <w:t xml:space="preserve"> </w:t>
      </w:r>
      <w:r>
        <w:t xml:space="preserve">“</w:t>
      </w:r>
      <w:r>
        <w:t xml:space="preserve">Modeling tabular data using conditional GAN,</w:t>
      </w:r>
      <w:r>
        <w:t xml:space="preserve">”</w:t>
      </w:r>
      <w:r>
        <w:t xml:space="preserve"> </w:t>
      </w:r>
      <w:r>
        <w:t xml:space="preserve">in</w:t>
      </w:r>
      <w:r>
        <w:t xml:space="preserve"> </w:t>
      </w:r>
      <w:r>
        <w:rPr>
          <w:iCs/>
          <w:i/>
        </w:rPr>
        <w:t xml:space="preserve">Adv. Neural Inf. Process. Syst. 32</w:t>
      </w:r>
      <w:r>
        <w:t xml:space="preserve">, 2019, pp. 7335–7345.</w:t>
      </w:r>
      <w:r>
        <w:t xml:space="preserve"> </w:t>
      </w:r>
      <w:hyperlink r:id="rId94">
        <w:r>
          <w:rPr>
            <w:rStyle w:val="Hyperlink"/>
          </w:rPr>
          <w:t xml:space="preserve">link</w:t>
        </w:r>
      </w:hyperlink>
    </w:p>
    <w:p>
      <w:pPr>
        <w:numPr>
          <w:ilvl w:val="0"/>
          <w:numId w:val="1013"/>
        </w:numPr>
        <w:pStyle w:val="Compact"/>
      </w:pPr>
      <w:r>
        <w:t xml:space="preserve">Z. Zhang, C. Yan, and B. A. Malin,</w:t>
      </w:r>
      <w:r>
        <w:t xml:space="preserve"> </w:t>
      </w:r>
      <w:r>
        <w:t xml:space="preserve">“</w:t>
      </w:r>
      <w:r>
        <w:t xml:space="preserve">Membership inference attacks against synthetic health data,</w:t>
      </w:r>
      <w:r>
        <w:t xml:space="preserve">”</w:t>
      </w:r>
      <w:r>
        <w:t xml:space="preserve"> </w:t>
      </w:r>
      <w:r>
        <w:rPr>
          <w:iCs/>
          <w:i/>
        </w:rPr>
        <w:t xml:space="preserve">J. Biomed. Inform.</w:t>
      </w:r>
      <w:r>
        <w:t xml:space="preserve">, vol. 125, p. 103977, 2022.</w:t>
      </w:r>
      <w:r>
        <w:t xml:space="preserve"> </w:t>
      </w:r>
      <w:hyperlink r:id="rId95">
        <w:r>
          <w:rPr>
            <w:rStyle w:val="Hyperlink"/>
          </w:rPr>
          <w:t xml:space="preserve">doi:10.1016/j.jbi.2021.103977</w:t>
        </w:r>
      </w:hyperlink>
    </w:p>
    <w:p>
      <w:pPr>
        <w:numPr>
          <w:ilvl w:val="0"/>
          <w:numId w:val="1013"/>
        </w:numPr>
        <w:pStyle w:val="Compact"/>
      </w:pPr>
      <w:r>
        <w:t xml:space="preserve">B. Kaabachi, J. Despraz, T. Meurers, et al.,</w:t>
      </w:r>
      <w:r>
        <w:t xml:space="preserve"> </w:t>
      </w:r>
      <w:r>
        <w:t xml:space="preserve">“</w:t>
      </w:r>
      <w:r>
        <w:t xml:space="preserve">A scoping review of privacy and utility metrics in medical synthetic data,</w:t>
      </w:r>
      <w:r>
        <w:t xml:space="preserve">”</w:t>
      </w:r>
      <w:r>
        <w:t xml:space="preserve"> </w:t>
      </w:r>
      <w:r>
        <w:rPr>
          <w:iCs/>
          <w:i/>
        </w:rPr>
        <w:t xml:space="preserve">npj Digit. Med.</w:t>
      </w:r>
      <w:r>
        <w:t xml:space="preserve">, vol. 8, p. 60, 2025.</w:t>
      </w:r>
      <w:r>
        <w:t xml:space="preserve"> </w:t>
      </w:r>
      <w:hyperlink r:id="rId96">
        <w:r>
          <w:rPr>
            <w:rStyle w:val="Hyperlink"/>
          </w:rPr>
          <w:t xml:space="preserve">doi:10.1038/s41746-024-01359-3</w:t>
        </w:r>
      </w:hyperlink>
    </w:p>
    <w:p>
      <w:pPr>
        <w:numPr>
          <w:ilvl w:val="0"/>
          <w:numId w:val="1013"/>
        </w:numPr>
        <w:pStyle w:val="Compact"/>
      </w:pPr>
      <w:r>
        <w:t xml:space="preserve">A. Coomarasamy, M. Connock, J. Thornton, and K. S. Khan,</w:t>
      </w:r>
      <w:r>
        <w:t xml:space="preserve"> </w:t>
      </w:r>
      <w:r>
        <w:t xml:space="preserve">“</w:t>
      </w:r>
      <w:r>
        <w:t xml:space="preserve">Accuracy of ultrasound biometry in the prediction of macrosomia: a systematic quantitative review,</w:t>
      </w:r>
      <w:r>
        <w:t xml:space="preserve">”</w:t>
      </w:r>
      <w:r>
        <w:t xml:space="preserve"> </w:t>
      </w:r>
      <w:r>
        <w:rPr>
          <w:iCs/>
          <w:i/>
        </w:rPr>
        <w:t xml:space="preserve">BJOG</w:t>
      </w:r>
      <w:r>
        <w:t xml:space="preserve">, vol. 112, no. 11, pp. 1461–1466, 2005.</w:t>
      </w:r>
      <w:r>
        <w:t xml:space="preserve"> </w:t>
      </w:r>
      <w:hyperlink r:id="rId97">
        <w:r>
          <w:rPr>
            <w:rStyle w:val="Hyperlink"/>
          </w:rPr>
          <w:t xml:space="preserve">doi:10.1111/j.1471-0528.2005.00702.x</w:t>
        </w:r>
      </w:hyperlink>
    </w:p>
    <w:p>
      <w:pPr>
        <w:numPr>
          <w:ilvl w:val="0"/>
          <w:numId w:val="1013"/>
        </w:numPr>
        <w:pStyle w:val="Compact"/>
      </w:pPr>
      <w:r>
        <w:t xml:space="preserve">L. Breiman,</w:t>
      </w:r>
      <w:r>
        <w:t xml:space="preserve"> </w:t>
      </w:r>
      <w:r>
        <w:t xml:space="preserve">“</w:t>
      </w:r>
      <w:r>
        <w:t xml:space="preserve">Random forests,</w:t>
      </w:r>
      <w:r>
        <w:t xml:space="preserve">”</w:t>
      </w:r>
      <w:r>
        <w:t xml:space="preserve"> </w:t>
      </w:r>
      <w:r>
        <w:rPr>
          <w:iCs/>
          <w:i/>
        </w:rPr>
        <w:t xml:space="preserve">Mach. Learn.</w:t>
      </w:r>
      <w:r>
        <w:t xml:space="preserve">, vol. 45, no. 1, pp. 5–32, 2001.</w:t>
      </w:r>
      <w:r>
        <w:t xml:space="preserve"> </w:t>
      </w:r>
      <w:hyperlink r:id="rId98">
        <w:r>
          <w:rPr>
            <w:rStyle w:val="Hyperlink"/>
          </w:rPr>
          <w:t xml:space="preserve">doi:10.1023/A:1010933404324</w:t>
        </w:r>
      </w:hyperlink>
    </w:p>
    <w:p>
      <w:pPr>
        <w:numPr>
          <w:ilvl w:val="0"/>
          <w:numId w:val="1013"/>
        </w:numPr>
        <w:pStyle w:val="Compact"/>
      </w:pPr>
      <w:r>
        <w:t xml:space="preserve">T. Chen and C. Guestrin,</w:t>
      </w:r>
      <w:r>
        <w:t xml:space="preserve"> </w:t>
      </w:r>
      <w:r>
        <w:t xml:space="preserve">“</w:t>
      </w:r>
      <w:r>
        <w:t xml:space="preserve">XGBoost: a scalable tree boosting system,</w:t>
      </w:r>
      <w:r>
        <w:t xml:space="preserve">”</w:t>
      </w:r>
      <w:r>
        <w:t xml:space="preserve"> </w:t>
      </w:r>
      <w:r>
        <w:t xml:space="preserve">in</w:t>
      </w:r>
      <w:r>
        <w:t xml:space="preserve"> </w:t>
      </w:r>
      <w:r>
        <w:rPr>
          <w:iCs/>
          <w:i/>
        </w:rPr>
        <w:t xml:space="preserve">Proc. 22nd ACM SIGKDD</w:t>
      </w:r>
      <w:r>
        <w:t xml:space="preserve">, 2016, pp. 785–794.</w:t>
      </w:r>
      <w:r>
        <w:t xml:space="preserve"> </w:t>
      </w:r>
      <w:hyperlink r:id="rId99">
        <w:r>
          <w:rPr>
            <w:rStyle w:val="Hyperlink"/>
          </w:rPr>
          <w:t xml:space="preserve">doi:10.1145/2939672.2939785</w:t>
        </w:r>
      </w:hyperlink>
    </w:p>
    <w:p>
      <w:pPr>
        <w:numPr>
          <w:ilvl w:val="0"/>
          <w:numId w:val="1013"/>
        </w:numPr>
        <w:pStyle w:val="Compact"/>
      </w:pPr>
      <w:r>
        <w:t xml:space="preserve">L. Prokhorenkova, G. Gusev, A. Vorobev, A. V. Dorogush, and A. Gulin,</w:t>
      </w:r>
      <w:r>
        <w:t xml:space="preserve"> </w:t>
      </w:r>
      <w:r>
        <w:t xml:space="preserve">“</w:t>
      </w:r>
      <w:r>
        <w:t xml:space="preserve">CatBoost: unbiased boosting with categorical features,</w:t>
      </w:r>
      <w:r>
        <w:t xml:space="preserve">”</w:t>
      </w:r>
      <w:r>
        <w:t xml:space="preserve"> </w:t>
      </w:r>
      <w:r>
        <w:t xml:space="preserve">in</w:t>
      </w:r>
      <w:r>
        <w:t xml:space="preserve"> </w:t>
      </w:r>
      <w:r>
        <w:rPr>
          <w:iCs/>
          <w:i/>
        </w:rPr>
        <w:t xml:space="preserve">Adv. Neural Inf. Process. Syst. 31</w:t>
      </w:r>
      <w:r>
        <w:t xml:space="preserve">, 2018, pp. 6638–6648.</w:t>
      </w:r>
      <w:r>
        <w:t xml:space="preserve"> </w:t>
      </w:r>
      <w:hyperlink r:id="rId100">
        <w:r>
          <w:rPr>
            <w:rStyle w:val="Hyperlink"/>
          </w:rPr>
          <w:t xml:space="preserve">link</w:t>
        </w:r>
      </w:hyperlink>
    </w:p>
    <w:p>
      <w:pPr>
        <w:numPr>
          <w:ilvl w:val="0"/>
          <w:numId w:val="1013"/>
        </w:numPr>
        <w:pStyle w:val="Compact"/>
      </w:pPr>
      <w:r>
        <w:t xml:space="preserve">D. H. Wolpert,</w:t>
      </w:r>
      <w:r>
        <w:t xml:space="preserve"> </w:t>
      </w:r>
      <w:r>
        <w:t xml:space="preserve">“</w:t>
      </w:r>
      <w:r>
        <w:t xml:space="preserve">Stacked generalization,</w:t>
      </w:r>
      <w:r>
        <w:t xml:space="preserve">”</w:t>
      </w:r>
      <w:r>
        <w:t xml:space="preserve"> </w:t>
      </w:r>
      <w:r>
        <w:rPr>
          <w:iCs/>
          <w:i/>
        </w:rPr>
        <w:t xml:space="preserve">Neural Netw.</w:t>
      </w:r>
      <w:r>
        <w:t xml:space="preserve">, vol. 5, no. 2, pp. 241–259, 1992.</w:t>
      </w:r>
      <w:r>
        <w:t xml:space="preserve"> </w:t>
      </w:r>
      <w:hyperlink r:id="rId101">
        <w:r>
          <w:rPr>
            <w:rStyle w:val="Hyperlink"/>
          </w:rPr>
          <w:t xml:space="preserve">doi:10.1016/S0893-6080(05)80023-1</w:t>
        </w:r>
      </w:hyperlink>
    </w:p>
    <w:p>
      <w:pPr>
        <w:numPr>
          <w:ilvl w:val="0"/>
          <w:numId w:val="1013"/>
        </w:numPr>
        <w:pStyle w:val="Compact"/>
      </w:pPr>
      <w:r>
        <w:t xml:space="preserve">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Adv. Neural Inf. Process. Syst. 30</w:t>
      </w:r>
      <w:r>
        <w:t xml:space="preserve">, 2017, pp. 4765–4774.</w:t>
      </w:r>
      <w:r>
        <w:t xml:space="preserve"> </w:t>
      </w:r>
      <w:hyperlink r:id="rId102">
        <w:r>
          <w:rPr>
            <w:rStyle w:val="Hyperlink"/>
          </w:rPr>
          <w:t xml:space="preserve">link</w:t>
        </w:r>
      </w:hyperlink>
    </w:p>
    <w:p>
      <w:pPr>
        <w:numPr>
          <w:ilvl w:val="0"/>
          <w:numId w:val="1013"/>
        </w:numPr>
        <w:pStyle w:val="Compact"/>
      </w:pPr>
      <w:r>
        <w:t xml:space="preserve">G. S. Collins, K. G. M. Moons, P. Dhiman, et al.,</w:t>
      </w:r>
      <w:r>
        <w:t xml:space="preserve"> </w:t>
      </w:r>
      <w:r>
        <w:t xml:space="preserve">“</w:t>
      </w:r>
      <w:r>
        <w:t xml:space="preserve">TRIPOD+AI statement: updated guidance for reporting clinical prediction models that use regression or machine learning methods,</w:t>
      </w:r>
      <w:r>
        <w:t xml:space="preserve">”</w:t>
      </w:r>
      <w:r>
        <w:t xml:space="preserve"> </w:t>
      </w:r>
      <w:r>
        <w:rPr>
          <w:iCs/>
          <w:i/>
        </w:rPr>
        <w:t xml:space="preserve">BMJ</w:t>
      </w:r>
      <w:r>
        <w:t xml:space="preserve">, vol. 385, p. e078378, 2024.</w:t>
      </w:r>
      <w:r>
        <w:t xml:space="preserve"> </w:t>
      </w:r>
      <w:hyperlink r:id="rId103">
        <w:r>
          <w:rPr>
            <w:rStyle w:val="Hyperlink"/>
          </w:rPr>
          <w:t xml:space="preserve">doi:10.1136/bmj-2023-078378</w:t>
        </w:r>
      </w:hyperlink>
    </w:p>
    <w:p>
      <w:pPr>
        <w:numPr>
          <w:ilvl w:val="0"/>
          <w:numId w:val="1013"/>
        </w:numPr>
        <w:pStyle w:val="Compact"/>
      </w:pPr>
      <w:r>
        <w:t xml:space="preserve">K. G. M. Moons, J. A. A. Damen, T. Kaul, et al.,</w:t>
      </w:r>
      <w:r>
        <w:t xml:space="preserve"> </w:t>
      </w:r>
      <w:r>
        <w:t xml:space="preserve">“</w:t>
      </w:r>
      <w:r>
        <w:t xml:space="preserve">PROBAST+AI: an updated quality, risk of bias, and applicability assessment tool for prediction models using regression or artificial intelligence methods,</w:t>
      </w:r>
      <w:r>
        <w:t xml:space="preserve">”</w:t>
      </w:r>
      <w:r>
        <w:t xml:space="preserve"> </w:t>
      </w:r>
      <w:r>
        <w:rPr>
          <w:iCs/>
          <w:i/>
        </w:rPr>
        <w:t xml:space="preserve">BMJ</w:t>
      </w:r>
      <w:r>
        <w:t xml:space="preserve">, vol. 388, p. e082505, 2025.</w:t>
      </w:r>
      <w:r>
        <w:t xml:space="preserve"> </w:t>
      </w:r>
      <w:hyperlink r:id="rId104">
        <w:r>
          <w:rPr>
            <w:rStyle w:val="Hyperlink"/>
          </w:rPr>
          <w:t xml:space="preserve">doi:10.1136/bmj-2024-082505</w:t>
        </w:r>
      </w:hyperlink>
    </w:p>
    <w:p>
      <w:pPr>
        <w:numPr>
          <w:ilvl w:val="0"/>
          <w:numId w:val="1013"/>
        </w:numPr>
        <w:pStyle w:val="Compact"/>
      </w:pPr>
      <w:r>
        <w:t xml:space="preserve">B. Van Calster, D. J. McLernon, M. van Smeden, L. Wynants, and E. W. Steyerberg,</w:t>
      </w:r>
      <w:r>
        <w:t xml:space="preserve"> </w:t>
      </w:r>
      <w:r>
        <w:t xml:space="preserve">“</w:t>
      </w:r>
      <w:r>
        <w:t xml:space="preserve">Calibration: the Achilles heel of predictive analytics,</w:t>
      </w:r>
      <w:r>
        <w:t xml:space="preserve">”</w:t>
      </w:r>
      <w:r>
        <w:t xml:space="preserve"> </w:t>
      </w:r>
      <w:r>
        <w:rPr>
          <w:iCs/>
          <w:i/>
        </w:rPr>
        <w:t xml:space="preserve">BMC Med.</w:t>
      </w:r>
      <w:r>
        <w:t xml:space="preserve">, vol. 17, p. 230, 2019.</w:t>
      </w:r>
      <w:r>
        <w:t xml:space="preserve"> </w:t>
      </w:r>
      <w:hyperlink r:id="rId105">
        <w:r>
          <w:rPr>
            <w:rStyle w:val="Hyperlink"/>
          </w:rPr>
          <w:t xml:space="preserve">doi:10.1186/s12916-019-1466-7</w:t>
        </w:r>
      </w:hyperlink>
    </w:p>
    <w:p>
      <w:pPr>
        <w:numPr>
          <w:ilvl w:val="0"/>
          <w:numId w:val="1013"/>
        </w:numPr>
        <w:pStyle w:val="Compact"/>
      </w:pPr>
      <w:r>
        <w:t xml:space="preserve">A. J. Vickers and E. B. Elkin,</w:t>
      </w:r>
      <w:r>
        <w:t xml:space="preserve"> </w:t>
      </w:r>
      <w:r>
        <w:t xml:space="preserve">“</w:t>
      </w:r>
      <w:r>
        <w:t xml:space="preserve">Decision curve analysis: a novel method for evaluating prediction models,</w:t>
      </w:r>
      <w:r>
        <w:t xml:space="preserve">”</w:t>
      </w:r>
      <w:r>
        <w:t xml:space="preserve"> </w:t>
      </w:r>
      <w:r>
        <w:rPr>
          <w:iCs/>
          <w:i/>
        </w:rPr>
        <w:t xml:space="preserve">Med. Decis. Making</w:t>
      </w:r>
      <w:r>
        <w:t xml:space="preserve">, vol. 26, no. 6, pp. 565–574, 2006.</w:t>
      </w:r>
      <w:r>
        <w:t xml:space="preserve"> </w:t>
      </w:r>
      <w:hyperlink r:id="rId106">
        <w:r>
          <w:rPr>
            <w:rStyle w:val="Hyperlink"/>
          </w:rPr>
          <w:t xml:space="preserve">doi:10.1177/0272989X06295361</w:t>
        </w:r>
      </w:hyperlink>
    </w:p>
    <w:p>
      <w:pPr>
        <w:numPr>
          <w:ilvl w:val="0"/>
          <w:numId w:val="1013"/>
        </w:numPr>
        <w:pStyle w:val="Compact"/>
      </w:pPr>
      <w:r>
        <w:t xml:space="preserve">G. W. Brier,</w:t>
      </w:r>
      <w:r>
        <w:t xml:space="preserve"> </w:t>
      </w:r>
      <w:r>
        <w:t xml:space="preserve">“</w:t>
      </w:r>
      <w:r>
        <w:t xml:space="preserve">Verification of forecasts expressed in terms of probability,</w:t>
      </w:r>
      <w:r>
        <w:t xml:space="preserve">”</w:t>
      </w:r>
      <w:r>
        <w:t xml:space="preserve"> </w:t>
      </w:r>
      <w:r>
        <w:rPr>
          <w:iCs/>
          <w:i/>
        </w:rPr>
        <w:t xml:space="preserve">Mon. Weather Rev.</w:t>
      </w:r>
      <w:r>
        <w:t xml:space="preserve">, vol. 78, no. 1, pp. 1–3, 1950.</w:t>
      </w:r>
      <w:r>
        <w:t xml:space="preserve"> </w:t>
      </w:r>
      <w:hyperlink r:id="rId107">
        <w:r>
          <w:rPr>
            <w:rStyle w:val="Hyperlink"/>
          </w:rPr>
          <w:t xml:space="preserve">doi:10.1175/1520-0493(1950)078&lt;0001:VOFEIT&gt;2.0.CO;2</w:t>
        </w:r>
      </w:hyperlink>
    </w:p>
    <w:p>
      <w:pPr>
        <w:numPr>
          <w:ilvl w:val="0"/>
          <w:numId w:val="1013"/>
        </w:numPr>
        <w:pStyle w:val="Compact"/>
      </w:pPr>
      <w:r>
        <w:t xml:space="preserve">F. P. Hadlock, R. B. Harrist, R. S. Sharman, R. L. Deter, and S. K. Park,</w:t>
      </w:r>
      <w:r>
        <w:t xml:space="preserve"> </w:t>
      </w:r>
      <w:r>
        <w:t xml:space="preserve">“</w:t>
      </w:r>
      <w:r>
        <w:t xml:space="preserve">Estimation of fetal weight with the use of head, body, and femur measurements—a prospective study,</w:t>
      </w:r>
      <w:r>
        <w:t xml:space="preserve">”</w:t>
      </w:r>
      <w:r>
        <w:t xml:space="preserve"> </w:t>
      </w:r>
      <w:r>
        <w:rPr>
          <w:iCs/>
          <w:i/>
        </w:rPr>
        <w:t xml:space="preserve">Am. J. Obstet. Gynecol.</w:t>
      </w:r>
      <w:r>
        <w:t xml:space="preserve">, vol. 151, no. 3, pp. 333–337, 1985.</w:t>
      </w:r>
      <w:r>
        <w:t xml:space="preserve"> </w:t>
      </w:r>
      <w:hyperlink r:id="rId108">
        <w:r>
          <w:rPr>
            <w:rStyle w:val="Hyperlink"/>
          </w:rPr>
          <w:t xml:space="preserve">doi:10.1016/0002-9378(85)90298-4</w:t>
        </w:r>
      </w:hyperlink>
    </w:p>
    <w:p>
      <w:pPr>
        <w:numPr>
          <w:ilvl w:val="0"/>
          <w:numId w:val="1013"/>
        </w:numPr>
        <w:pStyle w:val="Compact"/>
      </w:pPr>
      <w:r>
        <w:t xml:space="preserve">G. Pinto, V. Crista, R. Silva, et al.,</w:t>
      </w:r>
      <w:r>
        <w:t xml:space="preserve"> </w:t>
      </w:r>
      <w:r>
        <w:t xml:space="preserve">“</w:t>
      </w:r>
      <w:r>
        <w:t xml:space="preserve">Large language models for generating longitudinal synthetic data in low-risk pregnancy care,</w:t>
      </w:r>
      <w:r>
        <w:t xml:space="preserve">”</w:t>
      </w:r>
      <w:r>
        <w:t xml:space="preserve"> </w:t>
      </w:r>
      <w:r>
        <w:rPr>
          <w:iCs/>
          <w:i/>
        </w:rPr>
        <w:t xml:space="preserve">Data Brief</w:t>
      </w:r>
      <w:r>
        <w:t xml:space="preserve">, vol. 67, p. 112933, 2026; data: Zenodo</w:t>
      </w:r>
      <w:r>
        <w:t xml:space="preserve"> </w:t>
      </w:r>
      <w:hyperlink r:id="rId109">
        <w:r>
          <w:rPr>
            <w:rStyle w:val="Hyperlink"/>
          </w:rPr>
          <w:t xml:space="preserve">doi:10.5281/zenodo.20204557</w:t>
        </w:r>
      </w:hyperlink>
      <w:r>
        <w:t xml:space="preserve">.</w:t>
      </w:r>
      <w:r>
        <w:t xml:space="preserve"> </w:t>
      </w:r>
      <w:hyperlink r:id="rId110">
        <w:r>
          <w:rPr>
            <w:rStyle w:val="Hyperlink"/>
          </w:rPr>
          <w:t xml:space="preserve">doi:10.1016/j.dib.2026.112933</w:t>
        </w:r>
      </w:hyperlink>
    </w:p>
    <w:p>
      <w:pPr>
        <w:numPr>
          <w:ilvl w:val="0"/>
          <w:numId w:val="1013"/>
        </w:numPr>
        <w:pStyle w:val="Compact"/>
      </w:pPr>
      <w:r>
        <w:t xml:space="preserve">National Institute for Health and Care Excellence,</w:t>
      </w:r>
      <w:r>
        <w:t xml:space="preserve"> </w:t>
      </w:r>
      <w:r>
        <w:t xml:space="preserve">“</w:t>
      </w:r>
      <w:r>
        <w:t xml:space="preserve">Diabetes in pregnancy: management from preconception to the postnatal period,</w:t>
      </w:r>
      <w:r>
        <w:t xml:space="preserve">”</w:t>
      </w:r>
      <w:r>
        <w:t xml:space="preserve"> </w:t>
      </w:r>
      <w:r>
        <w:t xml:space="preserve">NICE guideline NG3, 2015 (updated 2020).</w:t>
      </w:r>
      <w:r>
        <w:t xml:space="preserve"> </w:t>
      </w:r>
      <w:hyperlink r:id="rId111">
        <w:r>
          <w:rPr>
            <w:rStyle w:val="Hyperlink"/>
          </w:rPr>
          <w:t xml:space="preserve">link</w:t>
        </w:r>
      </w:hyperlink>
    </w:p>
    <w:p>
      <w:pPr>
        <w:numPr>
          <w:ilvl w:val="0"/>
          <w:numId w:val="1013"/>
        </w:numPr>
        <w:pStyle w:val="Compact"/>
      </w:pPr>
      <w:r>
        <w:t xml:space="preserve">S. Jeyaparam and R. Agha-Jaffar,</w:t>
      </w:r>
      <w:r>
        <w:t xml:space="preserve"> </w:t>
      </w:r>
      <w:r>
        <w:t xml:space="preserve">“</w:t>
      </w:r>
      <w:r>
        <w:t xml:space="preserve">GDM Dataset,</w:t>
      </w:r>
      <w:r>
        <w:t xml:space="preserve">”</w:t>
      </w:r>
      <w:r>
        <w:t xml:space="preserve"> </w:t>
      </w:r>
      <w:r>
        <w:t xml:space="preserve">Figshare, 2023.</w:t>
      </w:r>
      <w:r>
        <w:t xml:space="preserve"> </w:t>
      </w:r>
      <w:hyperlink r:id="rId112">
        <w:r>
          <w:rPr>
            <w:rStyle w:val="Hyperlink"/>
          </w:rPr>
          <w:t xml:space="preserve">doi:10.6084/m9.figshare.21806472.v1</w:t>
        </w:r>
      </w:hyperlink>
    </w:p>
    <w:bookmarkEnd w:id="113"/>
    <w:sectPr>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pPr>
      <w:spacing w:after="120" w:before="180" w:line="276" w:lineRule="auto"/>
      <w:jc w:val="both"/>
    </w:pPr>
    <w:qFormat/>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b w:val="0"/>
      <w:color w:val="000000"/>
      <w:sz w:val="22"/>
      <w:szCs w:val="30"/>
    </w:rPr>
  </w:style>
  <w:style w:customStyle="1" w:styleId="Author" w:type="paragraph">
    <w:name w:val="Author"/>
    <w:next w:val="BodyText"/>
    <w:qFormat/>
    <w:pPr>
      <w:keepNext/>
      <w:keepLines/>
      <w:jc w:val="center"/>
    </w:pPr>
    <w:rPr>
      <w:rFonts w:ascii="Times New Roman" w:cs="Times New Roman" w:eastAsia="Times New Roman" w:hAnsi="Times New Roman"/>
      <w:b w:val="0"/>
      <w:color w:val="000000"/>
      <w:sz w:val="24"/>
    </w:rPr>
  </w:style>
  <w:style w:styleId="Date" w:type="paragraph">
    <w:name w:val="Date"/>
    <w:next w:val="BodyText"/>
    <w:qFormat/>
    <w:pPr>
      <w:keepNext/>
      <w:keepLines/>
      <w:jc w:val="center"/>
    </w:pPr>
    <w:rPr>
      <w:rFonts w:ascii="Times New Roman" w:cs="Times New Roman" w:eastAsia="Times New Roman" w:hAnsi="Times New Roman"/>
      <w:b w:val="0"/>
      <w:color w:val="000000"/>
      <w:sz w:val="20"/>
    </w:r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imes New Roman" w:cs="Times New Roman" w:eastAsia="Times New Roman" w:hAnsi="Times New Roman"/>
      <w:color w:val="000000"/>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color w:val="000000"/>
      <w:sz w:val="20"/>
    </w:rPr>
  </w:style>
  <w:style w:customStyle="1" w:styleId="TableCaption" w:type="paragraph">
    <w:name w:val="Table Caption"/>
    <w:basedOn w:val="Caption"/>
    <w:pPr>
      <w:keepNext/>
    </w:pPr>
    <w:rPr>
      <w:rFonts w:ascii="Times New Roman" w:cs="Times New Roman" w:eastAsia="Times New Roman" w:hAnsi="Times New Roman"/>
      <w:b w:val="0"/>
      <w:color w:val="000000"/>
      <w:sz w:val="20"/>
    </w:rPr>
  </w:style>
  <w:style w:customStyle="1" w:styleId="ImageCaption" w:type="paragraph">
    <w:name w:val="Image Caption"/>
    <w:basedOn w:val="Caption"/>
    <w:pPr>
      <w:jc w:val="center"/>
    </w:pPr>
    <w:rPr>
      <w:rFonts w:ascii="Times New Roman" w:cs="Times New Roman" w:eastAsia="Times New Roman" w:hAnsi="Times New Roman"/>
      <w:b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49" Type="http://schemas.openxmlformats.org/officeDocument/2006/relationships/image" Target="media/rId49.png"/><Relationship Id="rId92" Type="http://schemas.openxmlformats.org/officeDocument/2006/relationships/hyperlink" Target="https://arxiv.org/abs/1804.03999" TargetMode="External"/><Relationship Id="rId85" Type="http://schemas.openxmlformats.org/officeDocument/2006/relationships/hyperlink" Target="https://doi.org/10.1002/uog.10082" TargetMode="External"/><Relationship Id="rId82" Type="http://schemas.openxmlformats.org/officeDocument/2006/relationships/hyperlink" Target="https://doi.org/10.1002/uog.17347" TargetMode="External"/><Relationship Id="rId83" Type="http://schemas.openxmlformats.org/officeDocument/2006/relationships/hyperlink" Target="https://doi.org/10.1002/uog.20272" TargetMode="External"/><Relationship Id="rId91" Type="http://schemas.openxmlformats.org/officeDocument/2006/relationships/hyperlink" Target="https://doi.org/10.1007/978-3-319-24574-4_28" TargetMode="External"/><Relationship Id="rId108" Type="http://schemas.openxmlformats.org/officeDocument/2006/relationships/hyperlink" Target="https://doi.org/10.1016/0002-9378(85)90298-4" TargetMode="External"/><Relationship Id="rId81" Type="http://schemas.openxmlformats.org/officeDocument/2006/relationships/hyperlink" Target="https://doi.org/10.1016/S0140-6736(14)61490-2" TargetMode="External"/><Relationship Id="rId101" Type="http://schemas.openxmlformats.org/officeDocument/2006/relationships/hyperlink" Target="https://doi.org/10.1016/S0893-6080(05)80023-1" TargetMode="External"/><Relationship Id="rId110" Type="http://schemas.openxmlformats.org/officeDocument/2006/relationships/hyperlink" Target="https://doi.org/10.1016/j.dib.2026.112933" TargetMode="External"/><Relationship Id="rId95" Type="http://schemas.openxmlformats.org/officeDocument/2006/relationships/hyperlink" Target="https://doi.org/10.1016/j.jbi.2021.103977" TargetMode="External"/><Relationship Id="rId88" Type="http://schemas.openxmlformats.org/officeDocument/2006/relationships/hyperlink" Target="https://doi.org/10.1016/j.media.2025.103640" TargetMode="External"/><Relationship Id="rId98" Type="http://schemas.openxmlformats.org/officeDocument/2006/relationships/hyperlink" Target="https://doi.org/10.1023/A:1010933404324" TargetMode="External"/><Relationship Id="rId77" Type="http://schemas.openxmlformats.org/officeDocument/2006/relationships/hyperlink" Target="https://doi.org/10.1038/s41598-026-65628-9" TargetMode="External"/><Relationship Id="rId79" Type="http://schemas.openxmlformats.org/officeDocument/2006/relationships/hyperlink" Target="https://doi.org/10.1038/s41746-024-01073-0" TargetMode="External"/><Relationship Id="rId96" Type="http://schemas.openxmlformats.org/officeDocument/2006/relationships/hyperlink" Target="https://doi.org/10.1038/s41746-024-01359-3" TargetMode="External"/><Relationship Id="rId72" Type="http://schemas.openxmlformats.org/officeDocument/2006/relationships/hyperlink" Target="https://doi.org/10.1056/NEJMoa0707943" TargetMode="External"/><Relationship Id="rId90" Type="http://schemas.openxmlformats.org/officeDocument/2006/relationships/hyperlink" Target="https://doi.org/10.1109/JBHI.2017.2776116" TargetMode="External"/><Relationship Id="rId75" Type="http://schemas.openxmlformats.org/officeDocument/2006/relationships/hyperlink" Target="https://doi.org/10.1111/aogs.70300" TargetMode="External"/><Relationship Id="rId87" Type="http://schemas.openxmlformats.org/officeDocument/2006/relationships/hyperlink" Target="https://doi.org/10.1111/j.1471-0528.1975.tb00708.x" TargetMode="External"/><Relationship Id="rId97" Type="http://schemas.openxmlformats.org/officeDocument/2006/relationships/hyperlink" Target="https://doi.org/10.1111/j.1471-0528.2005.00702.x" TargetMode="External"/><Relationship Id="rId103" Type="http://schemas.openxmlformats.org/officeDocument/2006/relationships/hyperlink" Target="https://doi.org/10.1136/bmj-2023-078378" TargetMode="External"/><Relationship Id="rId104" Type="http://schemas.openxmlformats.org/officeDocument/2006/relationships/hyperlink" Target="https://doi.org/10.1136/bmj-2024-082505" TargetMode="External"/><Relationship Id="rId99" Type="http://schemas.openxmlformats.org/officeDocument/2006/relationships/hyperlink" Target="https://doi.org/10.1145/2939672.2939785" TargetMode="External"/><Relationship Id="rId86" Type="http://schemas.openxmlformats.org/officeDocument/2006/relationships/hyperlink" Target="https://doi.org/10.1148/radiology.150.2.6691115" TargetMode="External"/><Relationship Id="rId107" Type="http://schemas.openxmlformats.org/officeDocument/2006/relationships/hyperlink" Target="https://doi.org/10.1175/1520-0493(1950)078%3C0001%3AVOFEIT%3E2.0.CO%3B2" TargetMode="External"/><Relationship Id="rId106" Type="http://schemas.openxmlformats.org/officeDocument/2006/relationships/hyperlink" Target="https://doi.org/10.1177/0272989X06295361" TargetMode="External"/><Relationship Id="rId76" Type="http://schemas.openxmlformats.org/officeDocument/2006/relationships/hyperlink" Target="https://doi.org/10.1186/s12884-025-07239-2" TargetMode="External"/><Relationship Id="rId74" Type="http://schemas.openxmlformats.org/officeDocument/2006/relationships/hyperlink" Target="https://doi.org/10.1186/s12911-025-02947-3" TargetMode="External"/><Relationship Id="rId105" Type="http://schemas.openxmlformats.org/officeDocument/2006/relationships/hyperlink" Target="https://doi.org/10.1186/s12916-019-1466-7" TargetMode="External"/><Relationship Id="rId78" Type="http://schemas.openxmlformats.org/officeDocument/2006/relationships/hyperlink" Target="https://doi.org/10.1186/s13073-019-0701-3" TargetMode="External"/><Relationship Id="rId71" Type="http://schemas.openxmlformats.org/officeDocument/2006/relationships/hyperlink" Target="https://doi.org/10.2337/dc09-1848" TargetMode="External"/><Relationship Id="rId73" Type="http://schemas.openxmlformats.org/officeDocument/2006/relationships/hyperlink" Target="https://doi.org/10.2337/dc26-S015" TargetMode="External"/><Relationship Id="rId89" Type="http://schemas.openxmlformats.org/officeDocument/2006/relationships/hyperlink" Target="https://doi.org/10.5281/zenodo.12697994" TargetMode="External"/><Relationship Id="rId109" Type="http://schemas.openxmlformats.org/officeDocument/2006/relationships/hyperlink" Target="https://doi.org/10.5281/zenodo.20204557" TargetMode="External"/><Relationship Id="rId84" Type="http://schemas.openxmlformats.org/officeDocument/2006/relationships/hyperlink" Target="https://doi.org/10.5468/ogs.2016.59.2.91" TargetMode="External"/><Relationship Id="rId112" Type="http://schemas.openxmlformats.org/officeDocument/2006/relationships/hyperlink" Target="https://doi.org/10.6084/m9.figshare.21806472.v1" TargetMode="External"/><Relationship Id="rId102" Type="http://schemas.openxmlformats.org/officeDocument/2006/relationships/hyperlink" Target="https://proceedings.neurips.cc/paper/2017/hash/8a20a8621978632d76c43dfd28b67767-Abstract.html" TargetMode="External"/><Relationship Id="rId100" Type="http://schemas.openxmlformats.org/officeDocument/2006/relationships/hyperlink" Target="https://proceedings.neurips.cc/paper/2018/hash/14491b756b3a51daac41c24863285549-Abstract.html" TargetMode="External"/><Relationship Id="rId94" Type="http://schemas.openxmlformats.org/officeDocument/2006/relationships/hyperlink" Target="https://proceedings.neurips.cc/paper/2019/hash/254ed7d2de3b23ab10936522dd547b78-Abstract.html" TargetMode="External"/><Relationship Id="rId80" Type="http://schemas.openxmlformats.org/officeDocument/2006/relationships/hyperlink" Target="https://proceedings.neurips.cc/paper_files/paper/2018/hash/69386f6bb1dfed68692a24c8686939b9-Abstract.html" TargetMode="External"/><Relationship Id="rId93" Type="http://schemas.openxmlformats.org/officeDocument/2006/relationships/hyperlink" Target="https://ramanujan.sirinudi.org/Volumes/published/ram06.pdf" TargetMode="External"/><Relationship Id="rId111" Type="http://schemas.openxmlformats.org/officeDocument/2006/relationships/hyperlink" Target="https://www.nice.org.uk/guidance/ng3" TargetMode="External"/></Relationships>
</file>

<file path=word/_rels/footnotes.xml.rels><?xml version='1.0' encoding='UTF-8' standalone='yes'?>
<Relationships xmlns="http://schemas.openxmlformats.org/package/2006/relationships"><Relationship Id="rId92" Type="http://schemas.openxmlformats.org/officeDocument/2006/relationships/hyperlink" Target="https://arxiv.org/abs/1804.03999" TargetMode="External"/><Relationship Id="rId85" Type="http://schemas.openxmlformats.org/officeDocument/2006/relationships/hyperlink" Target="https://doi.org/10.1002/uog.10082" TargetMode="External"/><Relationship Id="rId82" Type="http://schemas.openxmlformats.org/officeDocument/2006/relationships/hyperlink" Target="https://doi.org/10.1002/uog.17347" TargetMode="External"/><Relationship Id="rId83" Type="http://schemas.openxmlformats.org/officeDocument/2006/relationships/hyperlink" Target="https://doi.org/10.1002/uog.20272" TargetMode="External"/><Relationship Id="rId91" Type="http://schemas.openxmlformats.org/officeDocument/2006/relationships/hyperlink" Target="https://doi.org/10.1007/978-3-319-24574-4_28" TargetMode="External"/><Relationship Id="rId108" Type="http://schemas.openxmlformats.org/officeDocument/2006/relationships/hyperlink" Target="https://doi.org/10.1016/0002-9378(85)90298-4" TargetMode="External"/><Relationship Id="rId81" Type="http://schemas.openxmlformats.org/officeDocument/2006/relationships/hyperlink" Target="https://doi.org/10.1016/S0140-6736(14)61490-2" TargetMode="External"/><Relationship Id="rId101" Type="http://schemas.openxmlformats.org/officeDocument/2006/relationships/hyperlink" Target="https://doi.org/10.1016/S0893-6080(05)80023-1" TargetMode="External"/><Relationship Id="rId110" Type="http://schemas.openxmlformats.org/officeDocument/2006/relationships/hyperlink" Target="https://doi.org/10.1016/j.dib.2026.112933" TargetMode="External"/><Relationship Id="rId95" Type="http://schemas.openxmlformats.org/officeDocument/2006/relationships/hyperlink" Target="https://doi.org/10.1016/j.jbi.2021.103977" TargetMode="External"/><Relationship Id="rId88" Type="http://schemas.openxmlformats.org/officeDocument/2006/relationships/hyperlink" Target="https://doi.org/10.1016/j.media.2025.103640" TargetMode="External"/><Relationship Id="rId98" Type="http://schemas.openxmlformats.org/officeDocument/2006/relationships/hyperlink" Target="https://doi.org/10.1023/A:1010933404324" TargetMode="External"/><Relationship Id="rId77" Type="http://schemas.openxmlformats.org/officeDocument/2006/relationships/hyperlink" Target="https://doi.org/10.1038/s41598-026-65628-9" TargetMode="External"/><Relationship Id="rId79" Type="http://schemas.openxmlformats.org/officeDocument/2006/relationships/hyperlink" Target="https://doi.org/10.1038/s41746-024-01073-0" TargetMode="External"/><Relationship Id="rId96" Type="http://schemas.openxmlformats.org/officeDocument/2006/relationships/hyperlink" Target="https://doi.org/10.1038/s41746-024-01359-3" TargetMode="External"/><Relationship Id="rId72" Type="http://schemas.openxmlformats.org/officeDocument/2006/relationships/hyperlink" Target="https://doi.org/10.1056/NEJMoa0707943" TargetMode="External"/><Relationship Id="rId90" Type="http://schemas.openxmlformats.org/officeDocument/2006/relationships/hyperlink" Target="https://doi.org/10.1109/JBHI.2017.2776116" TargetMode="External"/><Relationship Id="rId75" Type="http://schemas.openxmlformats.org/officeDocument/2006/relationships/hyperlink" Target="https://doi.org/10.1111/aogs.70300" TargetMode="External"/><Relationship Id="rId87" Type="http://schemas.openxmlformats.org/officeDocument/2006/relationships/hyperlink" Target="https://doi.org/10.1111/j.1471-0528.1975.tb00708.x" TargetMode="External"/><Relationship Id="rId97" Type="http://schemas.openxmlformats.org/officeDocument/2006/relationships/hyperlink" Target="https://doi.org/10.1111/j.1471-0528.2005.00702.x" TargetMode="External"/><Relationship Id="rId103" Type="http://schemas.openxmlformats.org/officeDocument/2006/relationships/hyperlink" Target="https://doi.org/10.1136/bmj-2023-078378" TargetMode="External"/><Relationship Id="rId104" Type="http://schemas.openxmlformats.org/officeDocument/2006/relationships/hyperlink" Target="https://doi.org/10.1136/bmj-2024-082505" TargetMode="External"/><Relationship Id="rId99" Type="http://schemas.openxmlformats.org/officeDocument/2006/relationships/hyperlink" Target="https://doi.org/10.1145/2939672.2939785" TargetMode="External"/><Relationship Id="rId86" Type="http://schemas.openxmlformats.org/officeDocument/2006/relationships/hyperlink" Target="https://doi.org/10.1148/radiology.150.2.6691115" TargetMode="External"/><Relationship Id="rId107" Type="http://schemas.openxmlformats.org/officeDocument/2006/relationships/hyperlink" Target="https://doi.org/10.1175/1520-0493(1950)078%3C0001%3AVOFEIT%3E2.0.CO%3B2" TargetMode="External"/><Relationship Id="rId106" Type="http://schemas.openxmlformats.org/officeDocument/2006/relationships/hyperlink" Target="https://doi.org/10.1177/0272989X06295361" TargetMode="External"/><Relationship Id="rId76" Type="http://schemas.openxmlformats.org/officeDocument/2006/relationships/hyperlink" Target="https://doi.org/10.1186/s12884-025-07239-2" TargetMode="External"/><Relationship Id="rId74" Type="http://schemas.openxmlformats.org/officeDocument/2006/relationships/hyperlink" Target="https://doi.org/10.1186/s12911-025-02947-3" TargetMode="External"/><Relationship Id="rId105" Type="http://schemas.openxmlformats.org/officeDocument/2006/relationships/hyperlink" Target="https://doi.org/10.1186/s12916-019-1466-7" TargetMode="External"/><Relationship Id="rId78" Type="http://schemas.openxmlformats.org/officeDocument/2006/relationships/hyperlink" Target="https://doi.org/10.1186/s13073-019-0701-3" TargetMode="External"/><Relationship Id="rId71" Type="http://schemas.openxmlformats.org/officeDocument/2006/relationships/hyperlink" Target="https://doi.org/10.2337/dc09-1848" TargetMode="External"/><Relationship Id="rId73" Type="http://schemas.openxmlformats.org/officeDocument/2006/relationships/hyperlink" Target="https://doi.org/10.2337/dc26-S015" TargetMode="External"/><Relationship Id="rId89" Type="http://schemas.openxmlformats.org/officeDocument/2006/relationships/hyperlink" Target="https://doi.org/10.5281/zenodo.12697994" TargetMode="External"/><Relationship Id="rId109" Type="http://schemas.openxmlformats.org/officeDocument/2006/relationships/hyperlink" Target="https://doi.org/10.5281/zenodo.20204557" TargetMode="External"/><Relationship Id="rId84" Type="http://schemas.openxmlformats.org/officeDocument/2006/relationships/hyperlink" Target="https://doi.org/10.5468/ogs.2016.59.2.91" TargetMode="External"/><Relationship Id="rId112" Type="http://schemas.openxmlformats.org/officeDocument/2006/relationships/hyperlink" Target="https://doi.org/10.6084/m9.figshare.21806472.v1" TargetMode="External"/><Relationship Id="rId102" Type="http://schemas.openxmlformats.org/officeDocument/2006/relationships/hyperlink" Target="https://proceedings.neurips.cc/paper/2017/hash/8a20a8621978632d76c43dfd28b67767-Abstract.html" TargetMode="External"/><Relationship Id="rId100" Type="http://schemas.openxmlformats.org/officeDocument/2006/relationships/hyperlink" Target="https://proceedings.neurips.cc/paper/2018/hash/14491b756b3a51daac41c24863285549-Abstract.html" TargetMode="External"/><Relationship Id="rId94" Type="http://schemas.openxmlformats.org/officeDocument/2006/relationships/hyperlink" Target="https://proceedings.neurips.cc/paper/2019/hash/254ed7d2de3b23ab10936522dd547b78-Abstract.html" TargetMode="External"/><Relationship Id="rId80" Type="http://schemas.openxmlformats.org/officeDocument/2006/relationships/hyperlink" Target="https://proceedings.neurips.cc/paper_files/paper/2018/hash/69386f6bb1dfed68692a24c8686939b9-Abstract.html" TargetMode="External"/><Relationship Id="rId93" Type="http://schemas.openxmlformats.org/officeDocument/2006/relationships/hyperlink" Target="https://ramanujan.sirinudi.org/Volumes/published/ram06.pdf" TargetMode="External"/><Relationship Id="rId111" Type="http://schemas.openxmlformats.org/officeDocument/2006/relationships/hyperlink" Target="https://www.nice.org.uk/guidance/n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MDT-GEN: A Multimodal Maternal–Fetal Digital Twin for Early Screening of Gestational Diabetes and Macrosomia</dc:title>
  <dc:creator>R. Nirmalan, Assistant Professor (Sr.G); G. A. Srivarsha; P. Sankari</dc:creator>
  <cp:keywords/>
  <dcterms:created xsi:type="dcterms:W3CDTF">2026-10-25T03:59:24Z</dcterms:created>
  <dcterms:modified xsi:type="dcterms:W3CDTF">2026-10-25T03:59:24Z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Artificial Intelligence and Data Science, Mepco Schlenk Engineering College, Sivakasi, India — Draft for mentor review, 25 October 2026</vt:lpwstr>
  </property>
</Properties>
</file>