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i w:val="0"/>
          <w:sz w:val="24"/>
        </w:rPr>
        <w:t>EX. NO: 4b</w:t>
      </w:r>
    </w:p>
    <w:p>
      <w:pPr>
        <w:spacing w:after="200"/>
        <w:jc w:val="center"/>
      </w:pPr>
      <w:r>
        <w:rPr>
          <w:rFonts w:ascii="Times New Roman" w:hAnsi="Times New Roman"/>
          <w:b/>
          <w:i w:val="0"/>
          <w:sz w:val="24"/>
        </w:rPr>
        <w:t>EXPLORATORY DATA ANALYSIS (EDA) – DATA INSPECTION, FILTERING, STATISTICAL ANALYSIS AND CORRELATION</w:t>
      </w:r>
    </w:p>
    <w:p>
      <w:pPr>
        <w:spacing w:before="200" w:after="80"/>
      </w:pPr>
      <w:r>
        <w:rPr>
          <w:rFonts w:ascii="Times New Roman" w:hAnsi="Times New Roman"/>
          <w:b/>
          <w:sz w:val="24"/>
          <w:u w:val="single"/>
        </w:rPr>
        <w:t>AIM:</w:t>
      </w:r>
    </w:p>
    <w:p>
      <w:pPr>
        <w:spacing w:after="80"/>
      </w:pPr>
      <w:r>
        <w:rPr>
          <w:rFonts w:ascii="Times New Roman" w:hAnsi="Times New Roman"/>
          <w:b w:val="0"/>
          <w:i w:val="0"/>
          <w:sz w:val="24"/>
        </w:rPr>
        <w:t>To perform advanced exploratory data analysis on the sales dataset — inspecting the data using value_counts() and memory usage, filtering with nlargest(), group-wise conditions and cross-tabulation, computing advanced descriptive measures such as skewness, kurtosis and standard error, and comparing the Pearson, Spearman and Kendall correlation coefficients along with their significance.</w:t>
      </w:r>
    </w:p>
    <w:p>
      <w:pPr>
        <w:spacing w:before="200" w:after="80"/>
      </w:pPr>
      <w:r>
        <w:rPr>
          <w:rFonts w:ascii="Times New Roman" w:hAnsi="Times New Roman"/>
          <w:b/>
          <w:sz w:val="24"/>
          <w:u w:val="single"/>
        </w:rPr>
        <w:t>ALGORITHM:</w:t>
      </w:r>
    </w:p>
    <w:p>
      <w:pPr>
        <w:pStyle w:val="ListNumber"/>
        <w:spacing w:after="40"/>
      </w:pPr>
      <w:r>
        <w:rPr>
          <w:rFonts w:ascii="Times New Roman" w:hAnsi="Times New Roman"/>
          <w:sz w:val="24"/>
        </w:rPr>
        <w:t>Import the required libraries including the stats module of SciPy and load the dataset.</w:t>
      </w:r>
    </w:p>
    <w:p>
      <w:pPr>
        <w:pStyle w:val="ListNumber"/>
        <w:spacing w:after="40"/>
      </w:pPr>
      <w:r>
        <w:rPr>
          <w:rFonts w:ascii="Times New Roman" w:hAnsi="Times New Roman"/>
          <w:sz w:val="24"/>
        </w:rPr>
        <w:t>Inspect the dataset using sample(), nunique(), value_counts() and memory_usage().</w:t>
      </w:r>
    </w:p>
    <w:p>
      <w:pPr>
        <w:pStyle w:val="ListNumber"/>
        <w:spacing w:after="40"/>
      </w:pPr>
      <w:r>
        <w:rPr>
          <w:rFonts w:ascii="Times New Roman" w:hAnsi="Times New Roman"/>
          <w:sz w:val="24"/>
        </w:rPr>
        <w:t>Filter the records using nlargest(), nsmallest() and group-wise filtering.</w:t>
      </w:r>
    </w:p>
    <w:p>
      <w:pPr>
        <w:pStyle w:val="ListNumber"/>
        <w:spacing w:after="40"/>
      </w:pPr>
      <w:r>
        <w:rPr>
          <w:rFonts w:ascii="Times New Roman" w:hAnsi="Times New Roman"/>
          <w:sz w:val="24"/>
        </w:rPr>
        <w:t>Filter the data using a variable inside the query() method.</w:t>
      </w:r>
    </w:p>
    <w:p>
      <w:pPr>
        <w:pStyle w:val="ListNumber"/>
        <w:spacing w:after="40"/>
      </w:pPr>
      <w:r>
        <w:rPr>
          <w:rFonts w:ascii="Times New Roman" w:hAnsi="Times New Roman"/>
          <w:sz w:val="24"/>
        </w:rPr>
        <w:t>Build a cross-tabulation and a pivot table of Product against Region.</w:t>
      </w:r>
    </w:p>
    <w:p>
      <w:pPr>
        <w:pStyle w:val="ListNumber"/>
        <w:spacing w:after="40"/>
      </w:pPr>
      <w:r>
        <w:rPr>
          <w:rFonts w:ascii="Times New Roman" w:hAnsi="Times New Roman"/>
          <w:sz w:val="24"/>
        </w:rPr>
        <w:t>Compute the advanced descriptive measures — skewness, kurtosis, standard error, coefficient of variation and the Inter-Quartile Range.</w:t>
      </w:r>
    </w:p>
    <w:p>
      <w:pPr>
        <w:pStyle w:val="ListNumber"/>
        <w:spacing w:after="40"/>
      </w:pPr>
      <w:r>
        <w:rPr>
          <w:rFonts w:ascii="Times New Roman" w:hAnsi="Times New Roman"/>
          <w:sz w:val="24"/>
        </w:rPr>
        <w:t>Compute the group-wise descriptive statistics using describe() on a grouped object.</w:t>
      </w:r>
    </w:p>
    <w:p>
      <w:pPr>
        <w:pStyle w:val="ListNumber"/>
        <w:spacing w:after="40"/>
      </w:pPr>
      <w:r>
        <w:rPr>
          <w:rFonts w:ascii="Times New Roman" w:hAnsi="Times New Roman"/>
          <w:sz w:val="24"/>
        </w:rPr>
        <w:t>Compute the covariance matrix of the numeric attributes.</w:t>
      </w:r>
    </w:p>
    <w:p>
      <w:pPr>
        <w:pStyle w:val="ListNumber"/>
        <w:spacing w:after="40"/>
      </w:pPr>
      <w:r>
        <w:rPr>
          <w:rFonts w:ascii="Times New Roman" w:hAnsi="Times New Roman"/>
          <w:sz w:val="24"/>
        </w:rPr>
        <w:t>Compute the Pearson, Spearman and Kendall correlation coefficients and compare them.</w:t>
      </w:r>
    </w:p>
    <w:p>
      <w:pPr>
        <w:pStyle w:val="ListNumber"/>
        <w:spacing w:after="40"/>
      </w:pPr>
      <w:r>
        <w:rPr>
          <w:rFonts w:ascii="Times New Roman" w:hAnsi="Times New Roman"/>
          <w:sz w:val="24"/>
        </w:rPr>
        <w:t>Test the significance of the correlation using the pearsonr() function of SciPy.</w:t>
      </w:r>
    </w:p>
    <w:p>
      <w:pPr>
        <w:pStyle w:val="ListNumber"/>
        <w:spacing w:after="40"/>
      </w:pPr>
      <w:r>
        <w:rPr>
          <w:rFonts w:ascii="Times New Roman" w:hAnsi="Times New Roman"/>
          <w:sz w:val="24"/>
        </w:rPr>
        <w:t>Visualise the correlation using a heatmap and a pair-wise scatter plot.</w:t>
      </w:r>
    </w:p>
    <w:p>
      <w:pPr>
        <w:pStyle w:val="ListNumber"/>
        <w:spacing w:after="40"/>
      </w:pPr>
      <w:r>
        <w:rPr>
          <w:rFonts w:ascii="Times New Roman" w:hAnsi="Times New Roman"/>
          <w:sz w:val="24"/>
        </w:rPr>
        <w:t>Interpret the results and record the output.</w:t>
      </w:r>
    </w:p>
    <w:p>
      <w:pPr>
        <w:spacing w:before="200" w:after="80"/>
      </w:pPr>
      <w:r>
        <w:rPr>
          <w:rFonts w:ascii="Times New Roman" w:hAnsi="Times New Roman"/>
          <w:b/>
          <w:sz w:val="24"/>
          <w:u w:val="single"/>
        </w:rPr>
        <w:t>PROGRAM:</w:t>
      </w:r>
    </w:p>
    <w:p>
      <w:pPr>
        <w:spacing w:after="80"/>
      </w:pPr>
      <w:r>
        <w:rPr>
          <w:rFonts w:ascii="Times New Roman" w:hAnsi="Times New Roman"/>
          <w:b/>
          <w:i w:val="0"/>
          <w:sz w:val="22"/>
        </w:rPr>
        <w:t>Step 1: Loading the dataset and inspecting it</w:t>
      </w:r>
    </w:p>
    <w:p>
      <w:pPr>
        <w:spacing w:after="160"/>
        <w:jc w:val="left"/>
      </w:pPr>
      <w:r>
        <w:drawing>
          <wp:inline xmlns:a="http://schemas.openxmlformats.org/drawingml/2006/main" xmlns:pic="http://schemas.openxmlformats.org/drawingml/2006/picture">
            <wp:extent cx="3413760" cy="4625340"/>
            <wp:docPr id="1" name="Picture 1"/>
            <wp:cNvGraphicFramePr>
              <a:graphicFrameLocks noChangeAspect="1"/>
            </wp:cNvGraphicFramePr>
            <a:graphic>
              <a:graphicData uri="http://schemas.openxmlformats.org/drawingml/2006/picture">
                <pic:pic>
                  <pic:nvPicPr>
                    <pic:cNvPr id="0" name="cell00.png"/>
                    <pic:cNvPicPr/>
                  </pic:nvPicPr>
                  <pic:blipFill>
                    <a:blip r:embed="rId9"/>
                    <a:stretch>
                      <a:fillRect/>
                    </a:stretch>
                  </pic:blipFill>
                  <pic:spPr>
                    <a:xfrm>
                      <a:off x="0" y="0"/>
                      <a:ext cx="3413760" cy="4625340"/>
                    </a:xfrm>
                    <a:prstGeom prst="rect"/>
                  </pic:spPr>
                </pic:pic>
              </a:graphicData>
            </a:graphic>
          </wp:inline>
        </w:drawing>
      </w:r>
    </w:p>
    <w:p>
      <w:pPr>
        <w:spacing w:after="80"/>
      </w:pPr>
      <w:r>
        <w:rPr>
          <w:rFonts w:ascii="Times New Roman" w:hAnsi="Times New Roman"/>
          <w:b/>
          <w:i w:val="0"/>
          <w:sz w:val="22"/>
        </w:rPr>
        <w:t>Step 2: Inspecting the distribution of the categories and the memory usage</w:t>
      </w:r>
    </w:p>
    <w:p>
      <w:pPr>
        <w:spacing w:after="160"/>
        <w:jc w:val="left"/>
      </w:pPr>
      <w:r>
        <w:drawing>
          <wp:inline xmlns:a="http://schemas.openxmlformats.org/drawingml/2006/main" xmlns:pic="http://schemas.openxmlformats.org/drawingml/2006/picture">
            <wp:extent cx="4892040" cy="5554980"/>
            <wp:docPr id="2" name="Picture 2"/>
            <wp:cNvGraphicFramePr>
              <a:graphicFrameLocks noChangeAspect="1"/>
            </wp:cNvGraphicFramePr>
            <a:graphic>
              <a:graphicData uri="http://schemas.openxmlformats.org/drawingml/2006/picture">
                <pic:pic>
                  <pic:nvPicPr>
                    <pic:cNvPr id="0" name="cell01.png"/>
                    <pic:cNvPicPr/>
                  </pic:nvPicPr>
                  <pic:blipFill>
                    <a:blip r:embed="rId10"/>
                    <a:stretch>
                      <a:fillRect/>
                    </a:stretch>
                  </pic:blipFill>
                  <pic:spPr>
                    <a:xfrm>
                      <a:off x="0" y="0"/>
                      <a:ext cx="4892040" cy="5554980"/>
                    </a:xfrm>
                    <a:prstGeom prst="rect"/>
                  </pic:spPr>
                </pic:pic>
              </a:graphicData>
            </a:graphic>
          </wp:inline>
        </w:drawing>
      </w:r>
    </w:p>
    <w:p>
      <w:pPr>
        <w:spacing w:after="80"/>
      </w:pPr>
      <w:r>
        <w:rPr>
          <w:rFonts w:ascii="Times New Roman" w:hAnsi="Times New Roman"/>
          <w:b/>
          <w:i w:val="0"/>
          <w:sz w:val="22"/>
        </w:rPr>
        <w:t>Step 3: Filtering using nlargest() and nsmallest()</w:t>
      </w:r>
    </w:p>
    <w:p>
      <w:pPr>
        <w:spacing w:after="160"/>
        <w:jc w:val="left"/>
      </w:pPr>
      <w:r>
        <w:drawing>
          <wp:inline xmlns:a="http://schemas.openxmlformats.org/drawingml/2006/main" xmlns:pic="http://schemas.openxmlformats.org/drawingml/2006/picture">
            <wp:extent cx="5212080" cy="5090160"/>
            <wp:docPr id="3" name="Picture 3"/>
            <wp:cNvGraphicFramePr>
              <a:graphicFrameLocks noChangeAspect="1"/>
            </wp:cNvGraphicFramePr>
            <a:graphic>
              <a:graphicData uri="http://schemas.openxmlformats.org/drawingml/2006/picture">
                <pic:pic>
                  <pic:nvPicPr>
                    <pic:cNvPr id="0" name="cell02.png"/>
                    <pic:cNvPicPr/>
                  </pic:nvPicPr>
                  <pic:blipFill>
                    <a:blip r:embed="rId11"/>
                    <a:stretch>
                      <a:fillRect/>
                    </a:stretch>
                  </pic:blipFill>
                  <pic:spPr>
                    <a:xfrm>
                      <a:off x="0" y="0"/>
                      <a:ext cx="5212080" cy="5090160"/>
                    </a:xfrm>
                    <a:prstGeom prst="rect"/>
                  </pic:spPr>
                </pic:pic>
              </a:graphicData>
            </a:graphic>
          </wp:inline>
        </w:drawing>
      </w:r>
    </w:p>
    <w:p>
      <w:pPr>
        <w:spacing w:after="80"/>
      </w:pPr>
      <w:r>
        <w:rPr>
          <w:rFonts w:ascii="Times New Roman" w:hAnsi="Times New Roman"/>
          <w:b/>
          <w:i w:val="0"/>
          <w:sz w:val="22"/>
        </w:rPr>
        <w:t>Step 4: Group-wise filtering and filtering with a variable in query()</w:t>
      </w:r>
    </w:p>
    <w:p>
      <w:pPr>
        <w:spacing w:after="160"/>
        <w:jc w:val="left"/>
      </w:pPr>
      <w:r>
        <w:drawing>
          <wp:inline xmlns:a="http://schemas.openxmlformats.org/drawingml/2006/main" xmlns:pic="http://schemas.openxmlformats.org/drawingml/2006/picture">
            <wp:extent cx="5273040" cy="3543300"/>
            <wp:docPr id="4" name="Picture 4"/>
            <wp:cNvGraphicFramePr>
              <a:graphicFrameLocks noChangeAspect="1"/>
            </wp:cNvGraphicFramePr>
            <a:graphic>
              <a:graphicData uri="http://schemas.openxmlformats.org/drawingml/2006/picture">
                <pic:pic>
                  <pic:nvPicPr>
                    <pic:cNvPr id="0" name="cell03.png"/>
                    <pic:cNvPicPr/>
                  </pic:nvPicPr>
                  <pic:blipFill>
                    <a:blip r:embed="rId12"/>
                    <a:stretch>
                      <a:fillRect/>
                    </a:stretch>
                  </pic:blipFill>
                  <pic:spPr>
                    <a:xfrm>
                      <a:off x="0" y="0"/>
                      <a:ext cx="5273040" cy="3543300"/>
                    </a:xfrm>
                    <a:prstGeom prst="rect"/>
                  </pic:spPr>
                </pic:pic>
              </a:graphicData>
            </a:graphic>
          </wp:inline>
        </w:drawing>
      </w:r>
    </w:p>
    <w:p>
      <w:pPr>
        <w:spacing w:after="80"/>
      </w:pPr>
      <w:r>
        <w:rPr>
          <w:rFonts w:ascii="Times New Roman" w:hAnsi="Times New Roman"/>
          <w:b/>
          <w:i w:val="0"/>
          <w:sz w:val="22"/>
        </w:rPr>
        <w:t>Step 5: Cross-tabulation and pivot table</w:t>
      </w:r>
    </w:p>
    <w:p>
      <w:pPr>
        <w:spacing w:after="160"/>
        <w:jc w:val="left"/>
      </w:pPr>
      <w:r>
        <w:drawing>
          <wp:inline xmlns:a="http://schemas.openxmlformats.org/drawingml/2006/main" xmlns:pic="http://schemas.openxmlformats.org/drawingml/2006/picture">
            <wp:extent cx="5852160" cy="4278531"/>
            <wp:docPr id="5" name="Picture 5"/>
            <wp:cNvGraphicFramePr>
              <a:graphicFrameLocks noChangeAspect="1"/>
            </wp:cNvGraphicFramePr>
            <a:graphic>
              <a:graphicData uri="http://schemas.openxmlformats.org/drawingml/2006/picture">
                <pic:pic>
                  <pic:nvPicPr>
                    <pic:cNvPr id="0" name="cell04.png"/>
                    <pic:cNvPicPr/>
                  </pic:nvPicPr>
                  <pic:blipFill>
                    <a:blip r:embed="rId13"/>
                    <a:stretch>
                      <a:fillRect/>
                    </a:stretch>
                  </pic:blipFill>
                  <pic:spPr>
                    <a:xfrm>
                      <a:off x="0" y="0"/>
                      <a:ext cx="5852160" cy="4278531"/>
                    </a:xfrm>
                    <a:prstGeom prst="rect"/>
                  </pic:spPr>
                </pic:pic>
              </a:graphicData>
            </a:graphic>
          </wp:inline>
        </w:drawing>
      </w:r>
    </w:p>
    <w:p>
      <w:pPr>
        <w:spacing w:after="80"/>
      </w:pPr>
      <w:r>
        <w:rPr>
          <w:rFonts w:ascii="Times New Roman" w:hAnsi="Times New Roman"/>
          <w:b/>
          <w:i w:val="0"/>
          <w:sz w:val="22"/>
        </w:rPr>
        <w:t>Step 6: Advanced descriptive statistical measures</w:t>
      </w:r>
    </w:p>
    <w:p>
      <w:pPr>
        <w:spacing w:after="160"/>
        <w:jc w:val="left"/>
      </w:pPr>
      <w:r>
        <w:drawing>
          <wp:inline xmlns:a="http://schemas.openxmlformats.org/drawingml/2006/main" xmlns:pic="http://schemas.openxmlformats.org/drawingml/2006/picture">
            <wp:extent cx="5280660" cy="5090160"/>
            <wp:docPr id="6" name="Picture 6"/>
            <wp:cNvGraphicFramePr>
              <a:graphicFrameLocks noChangeAspect="1"/>
            </wp:cNvGraphicFramePr>
            <a:graphic>
              <a:graphicData uri="http://schemas.openxmlformats.org/drawingml/2006/picture">
                <pic:pic>
                  <pic:nvPicPr>
                    <pic:cNvPr id="0" name="cell05.png"/>
                    <pic:cNvPicPr/>
                  </pic:nvPicPr>
                  <pic:blipFill>
                    <a:blip r:embed="rId14"/>
                    <a:stretch>
                      <a:fillRect/>
                    </a:stretch>
                  </pic:blipFill>
                  <pic:spPr>
                    <a:xfrm>
                      <a:off x="0" y="0"/>
                      <a:ext cx="5280660" cy="5090160"/>
                    </a:xfrm>
                    <a:prstGeom prst="rect"/>
                  </pic:spPr>
                </pic:pic>
              </a:graphicData>
            </a:graphic>
          </wp:inline>
        </w:drawing>
      </w:r>
    </w:p>
    <w:p>
      <w:pPr>
        <w:spacing w:after="80"/>
      </w:pPr>
      <w:r>
        <w:rPr>
          <w:rFonts w:ascii="Times New Roman" w:hAnsi="Times New Roman"/>
          <w:b/>
          <w:i w:val="0"/>
          <w:sz w:val="22"/>
        </w:rPr>
        <w:t>Step 7: Group-wise descriptive statistics</w:t>
      </w:r>
    </w:p>
    <w:p>
      <w:pPr>
        <w:spacing w:after="160"/>
        <w:jc w:val="left"/>
      </w:pPr>
      <w:r>
        <w:drawing>
          <wp:inline xmlns:a="http://schemas.openxmlformats.org/drawingml/2006/main" xmlns:pic="http://schemas.openxmlformats.org/drawingml/2006/picture">
            <wp:extent cx="4983480" cy="3535680"/>
            <wp:docPr id="7" name="Picture 7"/>
            <wp:cNvGraphicFramePr>
              <a:graphicFrameLocks noChangeAspect="1"/>
            </wp:cNvGraphicFramePr>
            <a:graphic>
              <a:graphicData uri="http://schemas.openxmlformats.org/drawingml/2006/picture">
                <pic:pic>
                  <pic:nvPicPr>
                    <pic:cNvPr id="0" name="cell06.png"/>
                    <pic:cNvPicPr/>
                  </pic:nvPicPr>
                  <pic:blipFill>
                    <a:blip r:embed="rId15"/>
                    <a:stretch>
                      <a:fillRect/>
                    </a:stretch>
                  </pic:blipFill>
                  <pic:spPr>
                    <a:xfrm>
                      <a:off x="0" y="0"/>
                      <a:ext cx="4983480" cy="3535680"/>
                    </a:xfrm>
                    <a:prstGeom prst="rect"/>
                  </pic:spPr>
                </pic:pic>
              </a:graphicData>
            </a:graphic>
          </wp:inline>
        </w:drawing>
      </w:r>
    </w:p>
    <w:p>
      <w:pPr>
        <w:spacing w:after="80"/>
      </w:pPr>
      <w:r>
        <w:rPr>
          <w:rFonts w:ascii="Times New Roman" w:hAnsi="Times New Roman"/>
          <w:b/>
          <w:i w:val="0"/>
          <w:sz w:val="22"/>
        </w:rPr>
        <w:t>Step 8: Building the numeric feature set and computing the covariance matrix</w:t>
      </w:r>
    </w:p>
    <w:p>
      <w:pPr>
        <w:spacing w:after="160"/>
        <w:jc w:val="left"/>
      </w:pPr>
      <w:r>
        <w:drawing>
          <wp:inline xmlns:a="http://schemas.openxmlformats.org/drawingml/2006/main" xmlns:pic="http://schemas.openxmlformats.org/drawingml/2006/picture">
            <wp:extent cx="5852160" cy="5699760"/>
            <wp:docPr id="8" name="Picture 8"/>
            <wp:cNvGraphicFramePr>
              <a:graphicFrameLocks noChangeAspect="1"/>
            </wp:cNvGraphicFramePr>
            <a:graphic>
              <a:graphicData uri="http://schemas.openxmlformats.org/drawingml/2006/picture">
                <pic:pic>
                  <pic:nvPicPr>
                    <pic:cNvPr id="0" name="cell07.png"/>
                    <pic:cNvPicPr/>
                  </pic:nvPicPr>
                  <pic:blipFill>
                    <a:blip r:embed="rId16"/>
                    <a:stretch>
                      <a:fillRect/>
                    </a:stretch>
                  </pic:blipFill>
                  <pic:spPr>
                    <a:xfrm>
                      <a:off x="0" y="0"/>
                      <a:ext cx="5852160" cy="5699760"/>
                    </a:xfrm>
                    <a:prstGeom prst="rect"/>
                  </pic:spPr>
                </pic:pic>
              </a:graphicData>
            </a:graphic>
          </wp:inline>
        </w:drawing>
      </w:r>
    </w:p>
    <w:p>
      <w:pPr>
        <w:spacing w:after="80"/>
      </w:pPr>
      <w:r>
        <w:rPr>
          <w:rFonts w:ascii="Times New Roman" w:hAnsi="Times New Roman"/>
          <w:b/>
          <w:i w:val="0"/>
          <w:sz w:val="22"/>
        </w:rPr>
        <w:t>Step 9: Pearson, Spearman and Kendall correlation coefficients</w:t>
      </w:r>
    </w:p>
    <w:p>
      <w:pPr>
        <w:spacing w:after="160"/>
        <w:jc w:val="left"/>
      </w:pPr>
      <w:r>
        <w:drawing>
          <wp:inline xmlns:a="http://schemas.openxmlformats.org/drawingml/2006/main" xmlns:pic="http://schemas.openxmlformats.org/drawingml/2006/picture">
            <wp:extent cx="5151120" cy="6629400"/>
            <wp:docPr id="9" name="Picture 9"/>
            <wp:cNvGraphicFramePr>
              <a:graphicFrameLocks noChangeAspect="1"/>
            </wp:cNvGraphicFramePr>
            <a:graphic>
              <a:graphicData uri="http://schemas.openxmlformats.org/drawingml/2006/picture">
                <pic:pic>
                  <pic:nvPicPr>
                    <pic:cNvPr id="0" name="cell08.png"/>
                    <pic:cNvPicPr/>
                  </pic:nvPicPr>
                  <pic:blipFill>
                    <a:blip r:embed="rId17"/>
                    <a:stretch>
                      <a:fillRect/>
                    </a:stretch>
                  </pic:blipFill>
                  <pic:spPr>
                    <a:xfrm>
                      <a:off x="0" y="0"/>
                      <a:ext cx="5151120" cy="6629400"/>
                    </a:xfrm>
                    <a:prstGeom prst="rect"/>
                  </pic:spPr>
                </pic:pic>
              </a:graphicData>
            </a:graphic>
          </wp:inline>
        </w:drawing>
      </w:r>
    </w:p>
    <w:p>
      <w:pPr>
        <w:spacing w:after="80"/>
      </w:pPr>
      <w:r>
        <w:rPr>
          <w:rFonts w:ascii="Times New Roman" w:hAnsi="Times New Roman"/>
          <w:b/>
          <w:i w:val="0"/>
          <w:sz w:val="22"/>
        </w:rPr>
        <w:t>Step 10: Testing the significance of the correlation</w:t>
      </w:r>
    </w:p>
    <w:p>
      <w:pPr>
        <w:spacing w:after="160"/>
        <w:jc w:val="left"/>
      </w:pPr>
      <w:r>
        <w:drawing>
          <wp:inline xmlns:a="http://schemas.openxmlformats.org/drawingml/2006/main" xmlns:pic="http://schemas.openxmlformats.org/drawingml/2006/picture">
            <wp:extent cx="5730240" cy="4008120"/>
            <wp:docPr id="10" name="Picture 10"/>
            <wp:cNvGraphicFramePr>
              <a:graphicFrameLocks noChangeAspect="1"/>
            </wp:cNvGraphicFramePr>
            <a:graphic>
              <a:graphicData uri="http://schemas.openxmlformats.org/drawingml/2006/picture">
                <pic:pic>
                  <pic:nvPicPr>
                    <pic:cNvPr id="0" name="cell09.png"/>
                    <pic:cNvPicPr/>
                  </pic:nvPicPr>
                  <pic:blipFill>
                    <a:blip r:embed="rId18"/>
                    <a:stretch>
                      <a:fillRect/>
                    </a:stretch>
                  </pic:blipFill>
                  <pic:spPr>
                    <a:xfrm>
                      <a:off x="0" y="0"/>
                      <a:ext cx="5730240" cy="4008120"/>
                    </a:xfrm>
                    <a:prstGeom prst="rect"/>
                  </pic:spPr>
                </pic:pic>
              </a:graphicData>
            </a:graphic>
          </wp:inline>
        </w:drawing>
      </w:r>
    </w:p>
    <w:p>
      <w:pPr>
        <w:spacing w:after="80"/>
      </w:pPr>
      <w:r>
        <w:rPr>
          <w:rFonts w:ascii="Times New Roman" w:hAnsi="Times New Roman"/>
          <w:b/>
          <w:i w:val="0"/>
          <w:sz w:val="22"/>
        </w:rPr>
        <w:t>Step 11: Visualising the correlation using a heatmap</w:t>
      </w:r>
    </w:p>
    <w:p>
      <w:pPr>
        <w:spacing w:after="160"/>
        <w:jc w:val="left"/>
      </w:pPr>
      <w:r>
        <w:drawing>
          <wp:inline xmlns:a="http://schemas.openxmlformats.org/drawingml/2006/main" xmlns:pic="http://schemas.openxmlformats.org/drawingml/2006/picture">
            <wp:extent cx="5273040" cy="4724400"/>
            <wp:docPr id="11" name="Picture 11"/>
            <wp:cNvGraphicFramePr>
              <a:graphicFrameLocks noChangeAspect="1"/>
            </wp:cNvGraphicFramePr>
            <a:graphic>
              <a:graphicData uri="http://schemas.openxmlformats.org/drawingml/2006/picture">
                <pic:pic>
                  <pic:nvPicPr>
                    <pic:cNvPr id="0" name="cell10.png"/>
                    <pic:cNvPicPr/>
                  </pic:nvPicPr>
                  <pic:blipFill>
                    <a:blip r:embed="rId19"/>
                    <a:stretch>
                      <a:fillRect/>
                    </a:stretch>
                  </pic:blipFill>
                  <pic:spPr>
                    <a:xfrm>
                      <a:off x="0" y="0"/>
                      <a:ext cx="5273040" cy="4724400"/>
                    </a:xfrm>
                    <a:prstGeom prst="rect"/>
                  </pic:spPr>
                </pic:pic>
              </a:graphicData>
            </a:graphic>
          </wp:inline>
        </w:drawing>
      </w:r>
    </w:p>
    <w:p>
      <w:pPr>
        <w:spacing w:after="80"/>
      </w:pPr>
      <w:r>
        <w:rPr>
          <w:rFonts w:ascii="Times New Roman" w:hAnsi="Times New Roman"/>
          <w:b/>
          <w:i w:val="0"/>
          <w:sz w:val="22"/>
        </w:rPr>
        <w:t>Step 12: Pair-wise scatter plot of the numeric attributes</w:t>
      </w:r>
    </w:p>
    <w:p>
      <w:pPr>
        <w:spacing w:after="160"/>
        <w:jc w:val="left"/>
      </w:pPr>
      <w:r>
        <w:drawing>
          <wp:inline xmlns:a="http://schemas.openxmlformats.org/drawingml/2006/main" xmlns:pic="http://schemas.openxmlformats.org/drawingml/2006/picture">
            <wp:extent cx="5791200" cy="7696200"/>
            <wp:docPr id="12" name="Picture 12"/>
            <wp:cNvGraphicFramePr>
              <a:graphicFrameLocks noChangeAspect="1"/>
            </wp:cNvGraphicFramePr>
            <a:graphic>
              <a:graphicData uri="http://schemas.openxmlformats.org/drawingml/2006/picture">
                <pic:pic>
                  <pic:nvPicPr>
                    <pic:cNvPr id="0" name="cell11.png"/>
                    <pic:cNvPicPr/>
                  </pic:nvPicPr>
                  <pic:blipFill>
                    <a:blip r:embed="rId20"/>
                    <a:stretch>
                      <a:fillRect/>
                    </a:stretch>
                  </pic:blipFill>
                  <pic:spPr>
                    <a:xfrm>
                      <a:off x="0" y="0"/>
                      <a:ext cx="5791200" cy="7696200"/>
                    </a:xfrm>
                    <a:prstGeom prst="rect"/>
                  </pic:spPr>
                </pic:pic>
              </a:graphicData>
            </a:graphic>
          </wp:inline>
        </w:drawing>
      </w:r>
    </w:p>
    <w:p>
      <w:pPr>
        <w:spacing w:before="200" w:after="80"/>
      </w:pPr>
      <w:r>
        <w:rPr>
          <w:rFonts w:ascii="Times New Roman" w:hAnsi="Times New Roman"/>
          <w:b/>
          <w:sz w:val="24"/>
          <w:u w:val="single"/>
        </w:rPr>
        <w:t>RESULT:</w:t>
      </w:r>
    </w:p>
    <w:p>
      <w:pPr>
        <w:spacing w:after="80"/>
      </w:pPr>
      <w:r>
        <w:rPr>
          <w:rFonts w:ascii="Times New Roman" w:hAnsi="Times New Roman"/>
          <w:b w:val="0"/>
          <w:i w:val="0"/>
          <w:sz w:val="24"/>
        </w:rPr>
        <w:t>Thus advanced data inspection, filtering, statistical analysis and correlation analysis were carried out on the sales dataset, the Pearson, Spearman and Kendall coefficients were compared, their significance was tested and the results were visualised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