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r>
        <w:t>Effective Date: March 1, 2026</w:t>
      </w:r>
    </w:p>
    <w:p>
      <w:pPr>
        <w:pStyle w:val="Heading1"/>
      </w:pPr>
      <w:r>
        <w:t>1. Eligibility</w:t>
      </w:r>
    </w:p>
    <w:p>
      <w:r>
        <w:t>Employees who have completed their 90-day probationary period and hold a role classified as remote-eligible by their department head may work remotely.</w:t>
      </w:r>
    </w:p>
    <w:p>
      <w:pPr>
        <w:pStyle w:val="Heading1"/>
      </w:pPr>
      <w:r>
        <w:t>2. Equipment</w:t>
      </w:r>
    </w:p>
    <w:p>
      <w:r>
        <w:t>The company provides a laptop, monitor, and a one-time $300 home office stipend for remote employees. Additional equipment requests go through the IT procurement form.</w:t>
      </w:r>
    </w:p>
    <w:p>
      <w:pPr>
        <w:pStyle w:val="Heading1"/>
      </w:pPr>
      <w:r>
        <w:t>3. Working Hours</w:t>
      </w:r>
    </w:p>
    <w:p>
      <w:r>
        <w:t>Remote employees must be available during core hours of 10am to 3pm in their local timezone, and are expected to attend all scheduled team meetings via video call.</w:t>
      </w:r>
    </w:p>
    <w:p>
      <w:pPr>
        <w:pStyle w:val="Heading1"/>
      </w:pPr>
      <w:r>
        <w:t>4. Security Requirements</w:t>
      </w:r>
    </w:p>
    <w:p>
      <w:r>
        <w:t>All remote work must be performed on company-issued devices with full-disk encryption and the corporate VPN client installed. Public Wi-Fi use requires the VPN to be active at all times.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Stipend Limit</w:t>
            </w:r>
          </w:p>
        </w:tc>
      </w:tr>
      <w:tr>
        <w:tc>
          <w:tcPr>
            <w:tcW w:type="dxa" w:w="4320"/>
          </w:tcPr>
          <w:p>
            <w:r>
              <w:t>Home office setup</w:t>
            </w:r>
          </w:p>
        </w:tc>
        <w:tc>
          <w:tcPr>
            <w:tcW w:type="dxa" w:w="4320"/>
          </w:tcPr>
          <w:p>
            <w:r>
              <w:t>$300 one-time</w:t>
            </w:r>
          </w:p>
        </w:tc>
      </w:tr>
      <w:tr>
        <w:tc>
          <w:tcPr>
            <w:tcW w:type="dxa" w:w="4320"/>
          </w:tcPr>
          <w:p>
            <w:r>
              <w:t>Internet reimbursement</w:t>
            </w:r>
          </w:p>
        </w:tc>
        <w:tc>
          <w:tcPr>
            <w:tcW w:type="dxa" w:w="4320"/>
          </w:tcPr>
          <w:p>
            <w:r>
              <w:t>$50/month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