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014FB" w14:textId="30E14807" w:rsidR="002439EC" w:rsidRDefault="00F552B9" w:rsidP="00FA328B">
      <w:pPr>
        <w:spacing w:after="0"/>
        <w:rPr>
          <w:sz w:val="20"/>
          <w:szCs w:val="20"/>
        </w:rPr>
      </w:pPr>
      <w:r w:rsidRPr="009258AC">
        <w:rPr>
          <w:sz w:val="20"/>
          <w:szCs w:val="20"/>
        </w:rPr>
        <w:t xml:space="preserve">Commercial </w:t>
      </w:r>
      <w:r w:rsidR="00FA328B">
        <w:rPr>
          <w:sz w:val="20"/>
          <w:szCs w:val="20"/>
        </w:rPr>
        <w:t>Package Policy (CPP) can be made up of the following:</w:t>
      </w:r>
    </w:p>
    <w:p w14:paraId="1923E442" w14:textId="20F0481A" w:rsidR="00FA328B" w:rsidRDefault="00FA328B" w:rsidP="00FA328B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Commercial Property</w:t>
      </w:r>
    </w:p>
    <w:p w14:paraId="3D0ACF9C" w14:textId="4F71CB51" w:rsidR="00FA328B" w:rsidRDefault="00FA328B" w:rsidP="00FA328B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Commercial General Liability - </w:t>
      </w:r>
      <w:r w:rsidRPr="009258AC">
        <w:rPr>
          <w:sz w:val="20"/>
          <w:szCs w:val="20"/>
        </w:rPr>
        <w:t>Commercial General Liability</w:t>
      </w:r>
      <w:r>
        <w:rPr>
          <w:sz w:val="20"/>
          <w:szCs w:val="20"/>
        </w:rPr>
        <w:t xml:space="preserve"> subline only (with or without Liquor)</w:t>
      </w:r>
    </w:p>
    <w:p w14:paraId="4D9507DD" w14:textId="63D90F11" w:rsidR="00FA328B" w:rsidRDefault="00FA328B" w:rsidP="00FA328B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Commercial Inland Marine</w:t>
      </w:r>
    </w:p>
    <w:p w14:paraId="5F2D1220" w14:textId="5B91CCAC" w:rsidR="00FA328B" w:rsidRDefault="00FA328B" w:rsidP="00FA328B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Commercial Crime</w:t>
      </w:r>
    </w:p>
    <w:p w14:paraId="0365D20E" w14:textId="430E1FC4" w:rsidR="00FA328B" w:rsidRDefault="00FA328B" w:rsidP="00FA328B">
      <w:pPr>
        <w:rPr>
          <w:sz w:val="20"/>
          <w:szCs w:val="20"/>
        </w:rPr>
      </w:pPr>
      <w:r>
        <w:rPr>
          <w:sz w:val="20"/>
          <w:szCs w:val="20"/>
        </w:rPr>
        <w:t xml:space="preserve">The package does not have to include </w:t>
      </w:r>
      <w:proofErr w:type="gramStart"/>
      <w:r>
        <w:rPr>
          <w:sz w:val="20"/>
          <w:szCs w:val="20"/>
        </w:rPr>
        <w:t>all of</w:t>
      </w:r>
      <w:proofErr w:type="gramEnd"/>
      <w:r>
        <w:rPr>
          <w:sz w:val="20"/>
          <w:szCs w:val="20"/>
        </w:rPr>
        <w:t xml:space="preserve"> these products.  It can include any combination that works for the customer’s needs.</w:t>
      </w:r>
    </w:p>
    <w:p w14:paraId="0FE58A48" w14:textId="6452759A" w:rsidR="00FA328B" w:rsidRDefault="00FA328B" w:rsidP="00FA328B">
      <w:pPr>
        <w:rPr>
          <w:sz w:val="20"/>
          <w:szCs w:val="20"/>
        </w:rPr>
      </w:pPr>
      <w:r>
        <w:rPr>
          <w:sz w:val="20"/>
          <w:szCs w:val="20"/>
        </w:rPr>
        <w:t xml:space="preserve">The dec and quote for CPP does not vary in the sections that are specific to each product (where blankets, or coverages are shown.)  The areas impacted for CPP are </w:t>
      </w:r>
      <w:proofErr w:type="gramStart"/>
      <w:r>
        <w:rPr>
          <w:sz w:val="20"/>
          <w:szCs w:val="20"/>
        </w:rPr>
        <w:t>all of</w:t>
      </w:r>
      <w:proofErr w:type="gramEnd"/>
      <w:r>
        <w:rPr>
          <w:sz w:val="20"/>
          <w:szCs w:val="20"/>
        </w:rPr>
        <w:t xml:space="preserve"> the “common” sections because in some cases these needed to be modified to show each product’s items.  (And some were not altered.)</w:t>
      </w:r>
    </w:p>
    <w:p w14:paraId="4A768E67" w14:textId="3FB8121E" w:rsidR="00FA328B" w:rsidRDefault="00FA328B" w:rsidP="00FA328B">
      <w:pPr>
        <w:rPr>
          <w:sz w:val="20"/>
          <w:szCs w:val="20"/>
        </w:rPr>
      </w:pPr>
      <w:r>
        <w:rPr>
          <w:sz w:val="20"/>
          <w:szCs w:val="20"/>
        </w:rPr>
        <w:t xml:space="preserve">A section that is changed is in the policy information.  Only a package policy can be written as a “36 month” policy.  This means the rates are stable during this 3-year period.  However, the policy still “renews” on a </w:t>
      </w:r>
      <w:proofErr w:type="gramStart"/>
      <w:r>
        <w:rPr>
          <w:sz w:val="20"/>
          <w:szCs w:val="20"/>
        </w:rPr>
        <w:t>12 month</w:t>
      </w:r>
      <w:proofErr w:type="gramEnd"/>
      <w:r>
        <w:rPr>
          <w:sz w:val="20"/>
          <w:szCs w:val="20"/>
        </w:rPr>
        <w:t xml:space="preserve"> cycle.  </w:t>
      </w: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the effective date of the policy</w:t>
      </w:r>
      <w:r w:rsidR="00C26885">
        <w:rPr>
          <w:sz w:val="20"/>
          <w:szCs w:val="20"/>
        </w:rPr>
        <w:t xml:space="preserve"> is still 12 months.  We also show the customer where they are in their </w:t>
      </w:r>
      <w:proofErr w:type="gramStart"/>
      <w:r w:rsidR="00C26885">
        <w:rPr>
          <w:sz w:val="20"/>
          <w:szCs w:val="20"/>
        </w:rPr>
        <w:t>3 year</w:t>
      </w:r>
      <w:proofErr w:type="gramEnd"/>
      <w:r w:rsidR="00C26885">
        <w:rPr>
          <w:sz w:val="20"/>
          <w:szCs w:val="20"/>
        </w:rPr>
        <w:t xml:space="preserve"> cycle, so they know when to be talking to their agent about the upcoming renewal.</w:t>
      </w:r>
    </w:p>
    <w:p w14:paraId="43E439B3" w14:textId="16A16E9D" w:rsidR="00FA328B" w:rsidRDefault="00FA328B" w:rsidP="00FA328B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A1D3FB9" wp14:editId="01C0DCD0">
            <wp:extent cx="1384300" cy="967114"/>
            <wp:effectExtent l="0" t="0" r="6350" b="444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3084" cy="97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BC02" w14:textId="0A14A60C" w:rsidR="00FA328B" w:rsidRDefault="00FA328B" w:rsidP="00FA328B">
      <w:pPr>
        <w:rPr>
          <w:sz w:val="20"/>
          <w:szCs w:val="20"/>
        </w:rPr>
      </w:pPr>
      <w:r>
        <w:rPr>
          <w:sz w:val="20"/>
          <w:szCs w:val="20"/>
        </w:rPr>
        <w:t>A section that was NOT changed is the Coverage Parts and Premiums table</w:t>
      </w:r>
      <w:r w:rsidR="00C26885">
        <w:rPr>
          <w:sz w:val="20"/>
          <w:szCs w:val="20"/>
        </w:rPr>
        <w:t>.  We simply retrieve more data for this table from more places in the data for CPP.</w:t>
      </w:r>
    </w:p>
    <w:p w14:paraId="4704DE6F" w14:textId="6C89E369" w:rsidR="00FA328B" w:rsidRDefault="00FA328B" w:rsidP="00FA328B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D4A8B50" wp14:editId="22F00203">
            <wp:extent cx="3835400" cy="1774685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3896" cy="178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2851" w14:textId="3601B5BC" w:rsidR="00FA328B" w:rsidRDefault="00C26885" w:rsidP="00FA328B">
      <w:pPr>
        <w:rPr>
          <w:sz w:val="20"/>
          <w:szCs w:val="20"/>
        </w:rPr>
      </w:pPr>
      <w:r>
        <w:rPr>
          <w:sz w:val="20"/>
          <w:szCs w:val="20"/>
        </w:rPr>
        <w:t>The Schedule of Locations table data is sourced from one place in the payload.  PC sends us a de-duped list of locations across all products on the policy:</w:t>
      </w:r>
    </w:p>
    <w:p w14:paraId="7AA5CBEE" w14:textId="675ACA09" w:rsidR="00C26885" w:rsidRDefault="00C26885" w:rsidP="00FA328B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5E07CCE" wp14:editId="2650084A">
            <wp:extent cx="4654550" cy="998527"/>
            <wp:effectExtent l="0" t="0" r="0" b="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2541" cy="100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9C3B" w14:textId="2C244C1A" w:rsidR="00C26885" w:rsidRDefault="00C26885" w:rsidP="00FA328B">
      <w:pPr>
        <w:rPr>
          <w:sz w:val="20"/>
          <w:szCs w:val="20"/>
        </w:rPr>
      </w:pPr>
      <w:r>
        <w:rPr>
          <w:sz w:val="20"/>
          <w:szCs w:val="20"/>
        </w:rPr>
        <w:t xml:space="preserve">The Mortgagee and Additional Interests section can have duplicate entries across the </w:t>
      </w:r>
      <w:proofErr w:type="gramStart"/>
      <w:r>
        <w:rPr>
          <w:sz w:val="20"/>
          <w:szCs w:val="20"/>
        </w:rPr>
        <w:t>products</w:t>
      </w:r>
      <w:proofErr w:type="gramEnd"/>
      <w:r>
        <w:rPr>
          <w:sz w:val="20"/>
          <w:szCs w:val="20"/>
        </w:rPr>
        <w:t xml:space="preserve"> and this was decided to be correct behavior by the product specialists.</w:t>
      </w:r>
    </w:p>
    <w:p w14:paraId="0788531F" w14:textId="041AA7FA" w:rsidR="00C26885" w:rsidRDefault="00C26885" w:rsidP="00FA328B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Order in which the product coverages should be </w:t>
      </w:r>
      <w:proofErr w:type="gramStart"/>
      <w:r>
        <w:rPr>
          <w:sz w:val="20"/>
          <w:szCs w:val="20"/>
        </w:rPr>
        <w:t>shown:</w:t>
      </w:r>
      <w:proofErr w:type="gramEnd"/>
      <w:r>
        <w:rPr>
          <w:sz w:val="20"/>
          <w:szCs w:val="20"/>
        </w:rPr>
        <w:t xml:space="preserve"> Property</w:t>
      </w:r>
      <w:r w:rsidR="00B41080">
        <w:rPr>
          <w:sz w:val="20"/>
          <w:szCs w:val="20"/>
        </w:rPr>
        <w:t xml:space="preserve"> (F)</w:t>
      </w:r>
      <w:r>
        <w:rPr>
          <w:sz w:val="20"/>
          <w:szCs w:val="20"/>
        </w:rPr>
        <w:t>, GL</w:t>
      </w:r>
      <w:r w:rsidR="00B41080">
        <w:rPr>
          <w:sz w:val="20"/>
          <w:szCs w:val="20"/>
        </w:rPr>
        <w:t xml:space="preserve"> (GLA)</w:t>
      </w:r>
      <w:r>
        <w:rPr>
          <w:sz w:val="20"/>
          <w:szCs w:val="20"/>
        </w:rPr>
        <w:t>, Inland Marine</w:t>
      </w:r>
      <w:r w:rsidR="00B41080">
        <w:rPr>
          <w:sz w:val="20"/>
          <w:szCs w:val="20"/>
        </w:rPr>
        <w:t xml:space="preserve"> (IM)</w:t>
      </w:r>
      <w:r>
        <w:rPr>
          <w:sz w:val="20"/>
          <w:szCs w:val="20"/>
        </w:rPr>
        <w:t>, Crime</w:t>
      </w:r>
      <w:r w:rsidR="00B41080">
        <w:rPr>
          <w:sz w:val="20"/>
          <w:szCs w:val="20"/>
        </w:rPr>
        <w:t xml:space="preserve"> (SCP)</w:t>
      </w:r>
      <w:r>
        <w:rPr>
          <w:sz w:val="20"/>
          <w:szCs w:val="20"/>
        </w:rPr>
        <w:t xml:space="preserve">.  (This is the order from the legacy </w:t>
      </w:r>
      <w:proofErr w:type="gramStart"/>
      <w:r>
        <w:rPr>
          <w:sz w:val="20"/>
          <w:szCs w:val="20"/>
        </w:rPr>
        <w:t>system</w:t>
      </w:r>
      <w:proofErr w:type="gramEnd"/>
      <w:r>
        <w:rPr>
          <w:sz w:val="20"/>
          <w:szCs w:val="20"/>
        </w:rPr>
        <w:t xml:space="preserve"> and they wanted to maintain this.)</w:t>
      </w:r>
      <w:r w:rsidR="003E2B88">
        <w:rPr>
          <w:sz w:val="20"/>
          <w:szCs w:val="20"/>
        </w:rPr>
        <w:t xml:space="preserve"> </w:t>
      </w:r>
      <w:r w:rsidR="00B41080">
        <w:rPr>
          <w:sz w:val="20"/>
          <w:szCs w:val="20"/>
        </w:rPr>
        <w:t xml:space="preserve">The order is based on their product symbols: </w:t>
      </w:r>
      <w:r w:rsidR="003E2B88">
        <w:rPr>
          <w:sz w:val="20"/>
          <w:szCs w:val="20"/>
        </w:rPr>
        <w:t>F, GLA, IM, SCP</w:t>
      </w:r>
    </w:p>
    <w:p w14:paraId="0AE85721" w14:textId="1950CFC3" w:rsidR="00C26885" w:rsidRDefault="00C26885" w:rsidP="00C26885">
      <w:pPr>
        <w:spacing w:after="0"/>
        <w:rPr>
          <w:sz w:val="20"/>
          <w:szCs w:val="20"/>
        </w:rPr>
      </w:pPr>
      <w:r>
        <w:rPr>
          <w:sz w:val="20"/>
          <w:szCs w:val="20"/>
        </w:rPr>
        <w:t>The Policy Forms and Endorsements section is broken out into groupings for the line level forms and then the forms per product are also grouped.</w:t>
      </w:r>
    </w:p>
    <w:p w14:paraId="4C3F2802" w14:textId="64D6CDC5" w:rsidR="00C26885" w:rsidRDefault="00C26885" w:rsidP="00FA328B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63E488A" wp14:editId="6BE5AAD0">
            <wp:extent cx="3929610" cy="1898650"/>
            <wp:effectExtent l="0" t="0" r="0" b="6350"/>
            <wp:docPr id="4" name="Picture 4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 with low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6282" cy="190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E119" w14:textId="1CC1AFDD" w:rsidR="00C26885" w:rsidRDefault="00C26885" w:rsidP="00FA328B">
      <w:pPr>
        <w:rPr>
          <w:sz w:val="20"/>
          <w:szCs w:val="20"/>
        </w:rPr>
      </w:pPr>
      <w:r>
        <w:rPr>
          <w:sz w:val="20"/>
          <w:szCs w:val="20"/>
        </w:rPr>
        <w:t>The KY Tax charges are also grouped by product.  Currently, KY is the only state that requires insurers to disclose the state/county/city taxes charged on their policy.  Each location on each product is considered when deciding whether not a tax needs to be charged.  (Not all counties/cities have a tax.)</w:t>
      </w:r>
      <w:r w:rsidR="006A653C">
        <w:rPr>
          <w:sz w:val="20"/>
          <w:szCs w:val="20"/>
        </w:rPr>
        <w:t xml:space="preserve">  This is all handled by rating.  These taxes apply to ALL PRODUCTS – not just the CPP products.</w:t>
      </w:r>
    </w:p>
    <w:p w14:paraId="2180D8B6" w14:textId="4D84789E" w:rsidR="00C26885" w:rsidRDefault="00C26885" w:rsidP="00FA328B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8CA81A0" wp14:editId="08CF1058">
            <wp:extent cx="3894755" cy="2171700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376" cy="217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1C3D" w14:textId="5E9C408F" w:rsidR="006A653C" w:rsidRDefault="006A653C" w:rsidP="00FA328B">
      <w:pPr>
        <w:rPr>
          <w:sz w:val="20"/>
          <w:szCs w:val="20"/>
        </w:rPr>
      </w:pPr>
      <w:r>
        <w:rPr>
          <w:sz w:val="20"/>
          <w:szCs w:val="20"/>
        </w:rPr>
        <w:t>The Underwriting questions on the applications are also grouped by product.  In the case of IM, they are also broken out by coverage part.</w:t>
      </w:r>
    </w:p>
    <w:p w14:paraId="2B659E91" w14:textId="4568BFE9" w:rsidR="006A653C" w:rsidRPr="00FA328B" w:rsidRDefault="006A653C" w:rsidP="00FA328B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E9722FC" wp14:editId="56C6512C">
            <wp:extent cx="5353050" cy="1671153"/>
            <wp:effectExtent l="0" t="0" r="0" b="5715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9772" cy="167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53C" w:rsidRPr="00FA328B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DC035" w14:textId="77777777" w:rsidR="00F552B9" w:rsidRDefault="00F552B9" w:rsidP="00F552B9">
      <w:pPr>
        <w:spacing w:after="0" w:line="240" w:lineRule="auto"/>
      </w:pPr>
      <w:r>
        <w:separator/>
      </w:r>
    </w:p>
  </w:endnote>
  <w:endnote w:type="continuationSeparator" w:id="0">
    <w:p w14:paraId="4A2155E4" w14:textId="77777777" w:rsidR="00F552B9" w:rsidRDefault="00F552B9" w:rsidP="00F55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82337" w14:textId="77777777" w:rsidR="00F552B9" w:rsidRDefault="00F552B9" w:rsidP="00F552B9">
      <w:pPr>
        <w:spacing w:after="0" w:line="240" w:lineRule="auto"/>
      </w:pPr>
      <w:r>
        <w:separator/>
      </w:r>
    </w:p>
  </w:footnote>
  <w:footnote w:type="continuationSeparator" w:id="0">
    <w:p w14:paraId="7B01B1F9" w14:textId="77777777" w:rsidR="00F552B9" w:rsidRDefault="00F552B9" w:rsidP="00F552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EF63E" w14:textId="2F4FA9A2" w:rsidR="00F552B9" w:rsidRDefault="00F552B9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E2B7702" wp14:editId="0481425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32"/>
                              <w:szCs w:val="3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1B75C7C3" w14:textId="3D74421E" w:rsidR="00F552B9" w:rsidRPr="00F552B9" w:rsidRDefault="00433282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  <w:t xml:space="preserve">Commercial </w:t>
                              </w:r>
                              <w:r w:rsidR="00A84A6C">
                                <w:rPr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  <w:t>P</w:t>
                              </w:r>
                              <w:r w:rsidR="00FA328B">
                                <w:rPr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  <w:t>ackage policy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E2B7702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49e39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  <w:sz w:val="32"/>
                        <w:szCs w:val="3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1B75C7C3" w14:textId="3D74421E" w:rsidR="00F552B9" w:rsidRPr="00F552B9" w:rsidRDefault="00433282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sz w:val="32"/>
                            <w:szCs w:val="32"/>
                          </w:rPr>
                          <w:t xml:space="preserve">Commercial </w:t>
                        </w:r>
                        <w:r w:rsidR="00A84A6C">
                          <w:rPr>
                            <w:caps/>
                            <w:color w:val="FFFFFF" w:themeColor="background1"/>
                            <w:sz w:val="32"/>
                            <w:szCs w:val="32"/>
                          </w:rPr>
                          <w:t>P</w:t>
                        </w:r>
                        <w:r w:rsidR="00FA328B">
                          <w:rPr>
                            <w:caps/>
                            <w:color w:val="FFFFFF" w:themeColor="background1"/>
                            <w:sz w:val="32"/>
                            <w:szCs w:val="32"/>
                          </w:rPr>
                          <w:t>ackage policy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4330B"/>
    <w:multiLevelType w:val="hybridMultilevel"/>
    <w:tmpl w:val="C8C02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4236B"/>
    <w:multiLevelType w:val="hybridMultilevel"/>
    <w:tmpl w:val="F6E45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D96C3D"/>
    <w:multiLevelType w:val="hybridMultilevel"/>
    <w:tmpl w:val="7A2ED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87985"/>
    <w:multiLevelType w:val="hybridMultilevel"/>
    <w:tmpl w:val="485C5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332696">
    <w:abstractNumId w:val="0"/>
  </w:num>
  <w:num w:numId="2" w16cid:durableId="1572814968">
    <w:abstractNumId w:val="1"/>
  </w:num>
  <w:num w:numId="3" w16cid:durableId="860316821">
    <w:abstractNumId w:val="3"/>
  </w:num>
  <w:num w:numId="4" w16cid:durableId="445782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75"/>
    <w:rsid w:val="001347E8"/>
    <w:rsid w:val="002439EC"/>
    <w:rsid w:val="002B1F75"/>
    <w:rsid w:val="003E2B88"/>
    <w:rsid w:val="00433282"/>
    <w:rsid w:val="0047757A"/>
    <w:rsid w:val="004F6BC6"/>
    <w:rsid w:val="00510FDC"/>
    <w:rsid w:val="0057627D"/>
    <w:rsid w:val="00646630"/>
    <w:rsid w:val="006469D6"/>
    <w:rsid w:val="006A653C"/>
    <w:rsid w:val="00725176"/>
    <w:rsid w:val="007B06F7"/>
    <w:rsid w:val="007E2F3B"/>
    <w:rsid w:val="009258AC"/>
    <w:rsid w:val="009D2D2A"/>
    <w:rsid w:val="00A84A6C"/>
    <w:rsid w:val="00AA5EA0"/>
    <w:rsid w:val="00B35703"/>
    <w:rsid w:val="00B41080"/>
    <w:rsid w:val="00C26885"/>
    <w:rsid w:val="00CB0851"/>
    <w:rsid w:val="00CE6D03"/>
    <w:rsid w:val="00DB4FB0"/>
    <w:rsid w:val="00DF294F"/>
    <w:rsid w:val="00E05484"/>
    <w:rsid w:val="00E467E8"/>
    <w:rsid w:val="00F50499"/>
    <w:rsid w:val="00F552B9"/>
    <w:rsid w:val="00F953E1"/>
    <w:rsid w:val="00FA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DDA1F46"/>
  <w15:chartTrackingRefBased/>
  <w15:docId w15:val="{F9B30B10-58B8-459A-84C6-F82CB37D6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5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2B9"/>
  </w:style>
  <w:style w:type="paragraph" w:styleId="Footer">
    <w:name w:val="footer"/>
    <w:basedOn w:val="Normal"/>
    <w:link w:val="FooterChar"/>
    <w:uiPriority w:val="99"/>
    <w:unhideWhenUsed/>
    <w:rsid w:val="00F55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2B9"/>
  </w:style>
  <w:style w:type="paragraph" w:styleId="ListParagraph">
    <w:name w:val="List Paragraph"/>
    <w:basedOn w:val="Normal"/>
    <w:uiPriority w:val="34"/>
    <w:qFormat/>
    <w:rsid w:val="00433282"/>
    <w:pPr>
      <w:ind w:left="720"/>
      <w:contextualSpacing/>
    </w:pPr>
  </w:style>
  <w:style w:type="table" w:styleId="TableGrid">
    <w:name w:val="Table Grid"/>
    <w:basedOn w:val="TableNormal"/>
    <w:uiPriority w:val="39"/>
    <w:rsid w:val="00725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2603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Commercial Package policy</vt:lpstr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Package policy</dc:title>
  <dc:subject/>
  <dc:creator>Ellis, Liz</dc:creator>
  <cp:keywords/>
  <dc:description/>
  <cp:lastModifiedBy>Ellis, Liz</cp:lastModifiedBy>
  <cp:revision>13</cp:revision>
  <dcterms:created xsi:type="dcterms:W3CDTF">2022-09-25T19:21:00Z</dcterms:created>
  <dcterms:modified xsi:type="dcterms:W3CDTF">2022-10-13T14:03:00Z</dcterms:modified>
</cp:coreProperties>
</file>