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F15FB" w14:textId="17422DDD" w:rsidR="00A84A6C" w:rsidRPr="00A84A6C" w:rsidRDefault="00F552B9" w:rsidP="00A84A6C">
      <w:pPr>
        <w:rPr>
          <w:sz w:val="20"/>
          <w:szCs w:val="20"/>
        </w:rPr>
      </w:pPr>
      <w:r w:rsidRPr="009258AC">
        <w:rPr>
          <w:sz w:val="20"/>
          <w:szCs w:val="20"/>
        </w:rPr>
        <w:t xml:space="preserve">Commercial </w:t>
      </w:r>
      <w:r w:rsidR="00A84A6C">
        <w:rPr>
          <w:sz w:val="20"/>
          <w:szCs w:val="20"/>
        </w:rPr>
        <w:t xml:space="preserve">Property insurance has some similarities with personal property insurance, but the terms used to describe coverages differ.  </w:t>
      </w:r>
    </w:p>
    <w:p w14:paraId="688501F0" w14:textId="47E13EA5" w:rsidR="009258AC" w:rsidRDefault="00A84A6C" w:rsidP="004F6BC6">
      <w:pPr>
        <w:rPr>
          <w:sz w:val="20"/>
          <w:szCs w:val="20"/>
        </w:rPr>
      </w:pPr>
      <w:r>
        <w:rPr>
          <w:sz w:val="20"/>
          <w:szCs w:val="20"/>
        </w:rPr>
        <w:t>Here is an approximation of how the different PL coverages relate to CL coverage types</w:t>
      </w:r>
    </w:p>
    <w:tbl>
      <w:tblPr>
        <w:tblStyle w:val="TableGrid"/>
        <w:tblW w:w="0" w:type="auto"/>
        <w:tblInd w:w="1615" w:type="dxa"/>
        <w:tblLook w:val="04A0" w:firstRow="1" w:lastRow="0" w:firstColumn="1" w:lastColumn="0" w:noHBand="0" w:noVBand="1"/>
      </w:tblPr>
      <w:tblGrid>
        <w:gridCol w:w="3060"/>
        <w:gridCol w:w="3060"/>
      </w:tblGrid>
      <w:tr w:rsidR="00725176" w14:paraId="420B0EB7" w14:textId="77777777" w:rsidTr="00725176">
        <w:tc>
          <w:tcPr>
            <w:tcW w:w="3060" w:type="dxa"/>
          </w:tcPr>
          <w:p w14:paraId="5D200F40" w14:textId="7DF1057F" w:rsidR="00725176" w:rsidRDefault="00725176" w:rsidP="00725176">
            <w:pPr>
              <w:jc w:val="center"/>
              <w:rPr>
                <w:sz w:val="20"/>
                <w:szCs w:val="20"/>
              </w:rPr>
            </w:pPr>
            <w:r>
              <w:rPr>
                <w:sz w:val="20"/>
                <w:szCs w:val="20"/>
              </w:rPr>
              <w:t>Personal Lines</w:t>
            </w:r>
          </w:p>
        </w:tc>
        <w:tc>
          <w:tcPr>
            <w:tcW w:w="3060" w:type="dxa"/>
          </w:tcPr>
          <w:p w14:paraId="31F5E97C" w14:textId="3218F266" w:rsidR="00725176" w:rsidRDefault="00725176" w:rsidP="00725176">
            <w:pPr>
              <w:jc w:val="center"/>
              <w:rPr>
                <w:sz w:val="20"/>
                <w:szCs w:val="20"/>
              </w:rPr>
            </w:pPr>
            <w:r>
              <w:rPr>
                <w:sz w:val="20"/>
                <w:szCs w:val="20"/>
              </w:rPr>
              <w:t>Commercial Lines</w:t>
            </w:r>
          </w:p>
        </w:tc>
      </w:tr>
      <w:tr w:rsidR="00725176" w14:paraId="6C75590A" w14:textId="77777777" w:rsidTr="00725176">
        <w:tc>
          <w:tcPr>
            <w:tcW w:w="3060" w:type="dxa"/>
          </w:tcPr>
          <w:p w14:paraId="3D406610" w14:textId="050D0E23" w:rsidR="00725176" w:rsidRDefault="00725176" w:rsidP="004F6BC6">
            <w:pPr>
              <w:rPr>
                <w:sz w:val="20"/>
                <w:szCs w:val="20"/>
              </w:rPr>
            </w:pPr>
            <w:r>
              <w:rPr>
                <w:sz w:val="20"/>
                <w:szCs w:val="20"/>
              </w:rPr>
              <w:t>Coverage A - Dwelling</w:t>
            </w:r>
          </w:p>
        </w:tc>
        <w:tc>
          <w:tcPr>
            <w:tcW w:w="3060" w:type="dxa"/>
          </w:tcPr>
          <w:p w14:paraId="6A9836A5" w14:textId="3D65CC2B" w:rsidR="00725176" w:rsidRDefault="00725176" w:rsidP="004F6BC6">
            <w:pPr>
              <w:rPr>
                <w:sz w:val="20"/>
                <w:szCs w:val="20"/>
              </w:rPr>
            </w:pPr>
            <w:r>
              <w:rPr>
                <w:sz w:val="20"/>
                <w:szCs w:val="20"/>
              </w:rPr>
              <w:t>Building</w:t>
            </w:r>
          </w:p>
        </w:tc>
      </w:tr>
      <w:tr w:rsidR="00725176" w14:paraId="2B6D5E93" w14:textId="77777777" w:rsidTr="00725176">
        <w:tc>
          <w:tcPr>
            <w:tcW w:w="3060" w:type="dxa"/>
          </w:tcPr>
          <w:p w14:paraId="6CE5D38F" w14:textId="6224AF16" w:rsidR="00725176" w:rsidRDefault="00725176" w:rsidP="004F6BC6">
            <w:pPr>
              <w:rPr>
                <w:sz w:val="20"/>
                <w:szCs w:val="20"/>
              </w:rPr>
            </w:pPr>
            <w:r>
              <w:rPr>
                <w:sz w:val="20"/>
                <w:szCs w:val="20"/>
              </w:rPr>
              <w:t>Coverage B – Other Structures</w:t>
            </w:r>
          </w:p>
        </w:tc>
        <w:tc>
          <w:tcPr>
            <w:tcW w:w="3060" w:type="dxa"/>
          </w:tcPr>
          <w:p w14:paraId="47F209C3" w14:textId="76A448E7" w:rsidR="00725176" w:rsidRDefault="00725176" w:rsidP="004F6BC6">
            <w:pPr>
              <w:rPr>
                <w:sz w:val="20"/>
                <w:szCs w:val="20"/>
              </w:rPr>
            </w:pPr>
            <w:r>
              <w:rPr>
                <w:sz w:val="20"/>
                <w:szCs w:val="20"/>
              </w:rPr>
              <w:t>Special Class</w:t>
            </w:r>
          </w:p>
        </w:tc>
      </w:tr>
      <w:tr w:rsidR="00725176" w14:paraId="37A6B4A7" w14:textId="77777777" w:rsidTr="00725176">
        <w:tc>
          <w:tcPr>
            <w:tcW w:w="3060" w:type="dxa"/>
          </w:tcPr>
          <w:p w14:paraId="1DD1F3FD" w14:textId="37E91BCD" w:rsidR="00725176" w:rsidRDefault="00725176" w:rsidP="004F6BC6">
            <w:pPr>
              <w:rPr>
                <w:sz w:val="20"/>
                <w:szCs w:val="20"/>
              </w:rPr>
            </w:pPr>
            <w:r>
              <w:rPr>
                <w:sz w:val="20"/>
                <w:szCs w:val="20"/>
              </w:rPr>
              <w:t>Coverage C – Personal Property</w:t>
            </w:r>
          </w:p>
        </w:tc>
        <w:tc>
          <w:tcPr>
            <w:tcW w:w="3060" w:type="dxa"/>
          </w:tcPr>
          <w:p w14:paraId="1A89E86F" w14:textId="53D6950D" w:rsidR="00725176" w:rsidRDefault="00725176" w:rsidP="004F6BC6">
            <w:pPr>
              <w:rPr>
                <w:sz w:val="20"/>
                <w:szCs w:val="20"/>
              </w:rPr>
            </w:pPr>
            <w:r>
              <w:rPr>
                <w:sz w:val="20"/>
                <w:szCs w:val="20"/>
              </w:rPr>
              <w:t>Occupancy</w:t>
            </w:r>
          </w:p>
        </w:tc>
      </w:tr>
      <w:tr w:rsidR="00725176" w14:paraId="31990673" w14:textId="77777777" w:rsidTr="00725176">
        <w:tc>
          <w:tcPr>
            <w:tcW w:w="3060" w:type="dxa"/>
          </w:tcPr>
          <w:p w14:paraId="116D4BB4" w14:textId="3386D4EC" w:rsidR="00725176" w:rsidRDefault="00725176" w:rsidP="004F6BC6">
            <w:pPr>
              <w:rPr>
                <w:sz w:val="20"/>
                <w:szCs w:val="20"/>
              </w:rPr>
            </w:pPr>
            <w:r>
              <w:rPr>
                <w:sz w:val="20"/>
                <w:szCs w:val="20"/>
              </w:rPr>
              <w:t>Coverage D – Loss of Use</w:t>
            </w:r>
          </w:p>
        </w:tc>
        <w:tc>
          <w:tcPr>
            <w:tcW w:w="3060" w:type="dxa"/>
          </w:tcPr>
          <w:p w14:paraId="002D1B01" w14:textId="77777777" w:rsidR="00725176" w:rsidRDefault="00725176" w:rsidP="004F6BC6">
            <w:pPr>
              <w:rPr>
                <w:sz w:val="20"/>
                <w:szCs w:val="20"/>
              </w:rPr>
            </w:pPr>
            <w:r>
              <w:rPr>
                <w:sz w:val="20"/>
                <w:szCs w:val="20"/>
              </w:rPr>
              <w:t>Business Income</w:t>
            </w:r>
          </w:p>
          <w:p w14:paraId="28FDF47C" w14:textId="087A7587" w:rsidR="00725176" w:rsidRDefault="00725176" w:rsidP="004F6BC6">
            <w:pPr>
              <w:rPr>
                <w:sz w:val="20"/>
                <w:szCs w:val="20"/>
              </w:rPr>
            </w:pPr>
            <w:r>
              <w:rPr>
                <w:sz w:val="20"/>
                <w:szCs w:val="20"/>
              </w:rPr>
              <w:t>Special Class Business Income</w:t>
            </w:r>
          </w:p>
        </w:tc>
      </w:tr>
    </w:tbl>
    <w:p w14:paraId="6A24B7FA" w14:textId="3E9E6A89" w:rsidR="00725176" w:rsidRDefault="00725176" w:rsidP="00CE6D03">
      <w:pPr>
        <w:spacing w:before="240" w:after="0"/>
        <w:rPr>
          <w:sz w:val="20"/>
          <w:szCs w:val="20"/>
        </w:rPr>
      </w:pPr>
      <w:r>
        <w:rPr>
          <w:sz w:val="20"/>
          <w:szCs w:val="20"/>
        </w:rPr>
        <w:t>Notable differences include:</w:t>
      </w:r>
    </w:p>
    <w:p w14:paraId="5E69CF87" w14:textId="377617C4" w:rsidR="00725176" w:rsidRDefault="00725176" w:rsidP="00725176">
      <w:pPr>
        <w:pStyle w:val="ListParagraph"/>
        <w:numPr>
          <w:ilvl w:val="0"/>
          <w:numId w:val="2"/>
        </w:numPr>
        <w:rPr>
          <w:sz w:val="20"/>
          <w:szCs w:val="20"/>
        </w:rPr>
      </w:pPr>
      <w:r>
        <w:rPr>
          <w:sz w:val="20"/>
          <w:szCs w:val="20"/>
        </w:rPr>
        <w:t>PL refers to these by “Coverage A”, “Coverage B”, etc. whereas CL just uses the name of the item (Building, Occupancy, etc.)</w:t>
      </w:r>
    </w:p>
    <w:p w14:paraId="487A9CBC" w14:textId="7D5E6919" w:rsidR="00725176" w:rsidRDefault="00725176" w:rsidP="00725176">
      <w:pPr>
        <w:pStyle w:val="ListParagraph"/>
        <w:numPr>
          <w:ilvl w:val="0"/>
          <w:numId w:val="2"/>
        </w:numPr>
        <w:rPr>
          <w:sz w:val="20"/>
          <w:szCs w:val="20"/>
        </w:rPr>
      </w:pPr>
      <w:r>
        <w:rPr>
          <w:sz w:val="20"/>
          <w:szCs w:val="20"/>
        </w:rPr>
        <w:t>Special Class doesn’t exactly correlate to “Other Structures” because on the PL side, this could include a detached garage for example.  On the CL side, I think something like a detached garage would probably be considered a building, but I’m not positive about this</w:t>
      </w:r>
      <w:r w:rsidR="0057627D">
        <w:rPr>
          <w:sz w:val="20"/>
          <w:szCs w:val="20"/>
        </w:rPr>
        <w:t>.</w:t>
      </w:r>
    </w:p>
    <w:p w14:paraId="0CB3B5CC" w14:textId="5E72B4D8" w:rsidR="00725176" w:rsidRDefault="0057627D" w:rsidP="00725176">
      <w:pPr>
        <w:pStyle w:val="ListParagraph"/>
        <w:numPr>
          <w:ilvl w:val="0"/>
          <w:numId w:val="2"/>
        </w:numPr>
        <w:rPr>
          <w:sz w:val="20"/>
          <w:szCs w:val="20"/>
        </w:rPr>
      </w:pPr>
      <w:r>
        <w:rPr>
          <w:sz w:val="20"/>
          <w:szCs w:val="20"/>
        </w:rPr>
        <w:t>For Personal Property for both PL and CL, this can be “itemized” through Inland Marine coverage.  For PL this can be done on the same policy (attached to the home/condo/renter) or can be standalone.  For CL, this can be on the same policy if it’s done in a commercial package policy (CPP)</w:t>
      </w:r>
    </w:p>
    <w:p w14:paraId="7190ACF0" w14:textId="63F011FE" w:rsidR="0057627D" w:rsidRDefault="0057627D" w:rsidP="00725176">
      <w:pPr>
        <w:pStyle w:val="ListParagraph"/>
        <w:numPr>
          <w:ilvl w:val="0"/>
          <w:numId w:val="2"/>
        </w:numPr>
        <w:rPr>
          <w:sz w:val="20"/>
          <w:szCs w:val="20"/>
        </w:rPr>
      </w:pPr>
      <w:r>
        <w:rPr>
          <w:sz w:val="20"/>
          <w:szCs w:val="20"/>
        </w:rPr>
        <w:t>“Loss of Use” doesn’t exactly match up with “Business Income”</w:t>
      </w:r>
    </w:p>
    <w:p w14:paraId="0BEF1910" w14:textId="09E19916" w:rsidR="0057627D" w:rsidRDefault="0057627D" w:rsidP="0057627D">
      <w:pPr>
        <w:pStyle w:val="ListParagraph"/>
        <w:numPr>
          <w:ilvl w:val="1"/>
          <w:numId w:val="2"/>
        </w:numPr>
        <w:rPr>
          <w:sz w:val="20"/>
          <w:szCs w:val="20"/>
        </w:rPr>
      </w:pPr>
      <w:r>
        <w:rPr>
          <w:sz w:val="20"/>
          <w:szCs w:val="20"/>
        </w:rPr>
        <w:t>Loss of Use for PL covers expenses incurred if the home/condo is uninhabitable – so renting an apartment while repairs are being made for example</w:t>
      </w:r>
    </w:p>
    <w:p w14:paraId="7BDB1934" w14:textId="0786AB78" w:rsidR="0057627D" w:rsidRDefault="0057627D" w:rsidP="0057627D">
      <w:pPr>
        <w:pStyle w:val="ListParagraph"/>
        <w:numPr>
          <w:ilvl w:val="1"/>
          <w:numId w:val="2"/>
        </w:numPr>
        <w:rPr>
          <w:sz w:val="20"/>
          <w:szCs w:val="20"/>
        </w:rPr>
      </w:pPr>
      <w:r>
        <w:rPr>
          <w:sz w:val="20"/>
          <w:szCs w:val="20"/>
        </w:rPr>
        <w:t>Business Income (and Special Class Business Income) is more about losing income if the business has to be closed after a loss.  It might also cover renting a new location while the damaged location is being repaired, but I’m not sure</w:t>
      </w:r>
    </w:p>
    <w:p w14:paraId="67E27ED2" w14:textId="24AD84BC" w:rsidR="00F953E1" w:rsidRDefault="0057627D" w:rsidP="0057627D">
      <w:pPr>
        <w:rPr>
          <w:sz w:val="20"/>
          <w:szCs w:val="20"/>
        </w:rPr>
      </w:pPr>
      <w:r>
        <w:rPr>
          <w:sz w:val="20"/>
          <w:szCs w:val="20"/>
        </w:rPr>
        <w:t>For CL Property, there are some coverages that are available for multiple categories.  For instance, it’s common for coverages that are offered for Buildings to also be offered for Special Class.  It’s also common for Business Income coverages to be offered for Special Class Business Income.</w:t>
      </w:r>
      <w:r w:rsidR="00F953E1">
        <w:rPr>
          <w:sz w:val="20"/>
          <w:szCs w:val="20"/>
        </w:rPr>
        <w:t xml:space="preserve">  </w:t>
      </w:r>
      <w:r w:rsidR="00CE6D03">
        <w:rPr>
          <w:sz w:val="20"/>
          <w:szCs w:val="20"/>
        </w:rPr>
        <w:t xml:space="preserve">Some coverages can apply to buildings and occupancies, etc.  </w:t>
      </w:r>
      <w:r w:rsidR="00F953E1">
        <w:rPr>
          <w:sz w:val="20"/>
          <w:szCs w:val="20"/>
        </w:rPr>
        <w:t xml:space="preserve">This is something that is usually missed when we are making updates fast.  So it’s important the </w:t>
      </w:r>
      <w:r w:rsidR="00CE6D03">
        <w:rPr>
          <w:sz w:val="20"/>
          <w:szCs w:val="20"/>
        </w:rPr>
        <w:t>check</w:t>
      </w:r>
      <w:r w:rsidR="00F953E1">
        <w:rPr>
          <w:sz w:val="20"/>
          <w:szCs w:val="20"/>
        </w:rPr>
        <w:t xml:space="preserve"> all the categories that coverage might apply to.  (This should be documented in the PMT.)</w:t>
      </w:r>
    </w:p>
    <w:p w14:paraId="546CC41A" w14:textId="2E5AEEA2" w:rsidR="0057627D" w:rsidRDefault="00CE6D03" w:rsidP="0057627D">
      <w:pPr>
        <w:rPr>
          <w:sz w:val="20"/>
          <w:szCs w:val="20"/>
        </w:rPr>
      </w:pPr>
      <w:r>
        <w:rPr>
          <w:sz w:val="20"/>
          <w:szCs w:val="20"/>
        </w:rPr>
        <w:t>While CL Property offers some line level coverages, there is a hierarchy to the Location level and below coverages</w:t>
      </w:r>
    </w:p>
    <w:p w14:paraId="718199AF" w14:textId="3FEE2790" w:rsidR="00CE6D03" w:rsidRDefault="00CE6D03" w:rsidP="00CE6D03">
      <w:pPr>
        <w:spacing w:after="0"/>
        <w:rPr>
          <w:sz w:val="20"/>
          <w:szCs w:val="20"/>
        </w:rPr>
      </w:pPr>
      <w:r>
        <w:rPr>
          <w:sz w:val="20"/>
          <w:szCs w:val="20"/>
        </w:rPr>
        <w:t>Line Level Coverages</w:t>
      </w:r>
    </w:p>
    <w:p w14:paraId="2E709E66" w14:textId="5002A24B" w:rsidR="00CE6D03" w:rsidRDefault="00CE6D03" w:rsidP="00CE6D03">
      <w:pPr>
        <w:spacing w:after="0"/>
        <w:rPr>
          <w:sz w:val="20"/>
          <w:szCs w:val="20"/>
        </w:rPr>
      </w:pPr>
      <w:r>
        <w:rPr>
          <w:sz w:val="20"/>
          <w:szCs w:val="20"/>
        </w:rPr>
        <w:t>Location Level Coverages</w:t>
      </w:r>
    </w:p>
    <w:p w14:paraId="1018FCA1" w14:textId="38B94CB0" w:rsidR="00CE6D03" w:rsidRDefault="00CE6D03" w:rsidP="00CE6D03">
      <w:pPr>
        <w:spacing w:after="0"/>
        <w:rPr>
          <w:sz w:val="20"/>
          <w:szCs w:val="20"/>
        </w:rPr>
      </w:pPr>
      <w:r>
        <w:rPr>
          <w:sz w:val="20"/>
          <w:szCs w:val="20"/>
        </w:rPr>
        <w:tab/>
        <w:t>Building level coverages</w:t>
      </w:r>
      <w:r w:rsidR="009D2D2A">
        <w:rPr>
          <w:sz w:val="20"/>
          <w:szCs w:val="20"/>
        </w:rPr>
        <w:t xml:space="preserve"> (none to many per location)</w:t>
      </w:r>
    </w:p>
    <w:p w14:paraId="7646CFB1" w14:textId="13A5CAE7" w:rsidR="00CE6D03" w:rsidRDefault="00CE6D03" w:rsidP="00CE6D03">
      <w:pPr>
        <w:spacing w:after="0"/>
        <w:rPr>
          <w:sz w:val="20"/>
          <w:szCs w:val="20"/>
        </w:rPr>
      </w:pPr>
      <w:r>
        <w:rPr>
          <w:sz w:val="20"/>
          <w:szCs w:val="20"/>
        </w:rPr>
        <w:tab/>
      </w:r>
      <w:r>
        <w:rPr>
          <w:sz w:val="20"/>
          <w:szCs w:val="20"/>
        </w:rPr>
        <w:tab/>
        <w:t>Occupancy</w:t>
      </w:r>
      <w:r w:rsidR="009D2D2A">
        <w:rPr>
          <w:sz w:val="20"/>
          <w:szCs w:val="20"/>
        </w:rPr>
        <w:t xml:space="preserve"> (none to many per building)</w:t>
      </w:r>
    </w:p>
    <w:p w14:paraId="24EA687F" w14:textId="02DCAD91" w:rsidR="00CE6D03" w:rsidRDefault="00CE6D03" w:rsidP="00CE6D03">
      <w:pPr>
        <w:spacing w:after="0"/>
        <w:rPr>
          <w:sz w:val="20"/>
          <w:szCs w:val="20"/>
        </w:rPr>
      </w:pPr>
      <w:r>
        <w:rPr>
          <w:sz w:val="20"/>
          <w:szCs w:val="20"/>
        </w:rPr>
        <w:tab/>
      </w:r>
      <w:r>
        <w:rPr>
          <w:sz w:val="20"/>
          <w:szCs w:val="20"/>
        </w:rPr>
        <w:tab/>
      </w:r>
      <w:r>
        <w:rPr>
          <w:sz w:val="20"/>
          <w:szCs w:val="20"/>
        </w:rPr>
        <w:tab/>
        <w:t>Personal Property Type Coverages</w:t>
      </w:r>
      <w:r w:rsidR="009D2D2A">
        <w:rPr>
          <w:sz w:val="20"/>
          <w:szCs w:val="20"/>
        </w:rPr>
        <w:t xml:space="preserve"> (one to </w:t>
      </w:r>
      <w:r w:rsidR="00DB4FB0">
        <w:rPr>
          <w:sz w:val="20"/>
          <w:szCs w:val="20"/>
        </w:rPr>
        <w:t>17</w:t>
      </w:r>
      <w:r w:rsidR="009D2D2A">
        <w:rPr>
          <w:sz w:val="20"/>
          <w:szCs w:val="20"/>
        </w:rPr>
        <w:t xml:space="preserve"> per occupancy)</w:t>
      </w:r>
    </w:p>
    <w:p w14:paraId="231A580C" w14:textId="7EAEAAA1" w:rsidR="00CE6D03" w:rsidRDefault="00CE6D03" w:rsidP="00CE6D03">
      <w:pPr>
        <w:spacing w:after="0"/>
        <w:rPr>
          <w:sz w:val="20"/>
          <w:szCs w:val="20"/>
        </w:rPr>
      </w:pPr>
      <w:r>
        <w:rPr>
          <w:sz w:val="20"/>
          <w:szCs w:val="20"/>
        </w:rPr>
        <w:tab/>
      </w:r>
      <w:r>
        <w:rPr>
          <w:sz w:val="20"/>
          <w:szCs w:val="20"/>
        </w:rPr>
        <w:tab/>
        <w:t>Business Income coverages</w:t>
      </w:r>
      <w:r w:rsidR="009D2D2A">
        <w:rPr>
          <w:sz w:val="20"/>
          <w:szCs w:val="20"/>
        </w:rPr>
        <w:t xml:space="preserve"> (none to many per building)</w:t>
      </w:r>
    </w:p>
    <w:p w14:paraId="1ED817BB" w14:textId="0DD4D342" w:rsidR="00CE6D03" w:rsidRDefault="00CE6D03" w:rsidP="00CE6D03">
      <w:pPr>
        <w:spacing w:after="0"/>
        <w:rPr>
          <w:sz w:val="20"/>
          <w:szCs w:val="20"/>
        </w:rPr>
      </w:pPr>
      <w:r>
        <w:rPr>
          <w:sz w:val="20"/>
          <w:szCs w:val="20"/>
        </w:rPr>
        <w:tab/>
        <w:t>Special Class level coverages</w:t>
      </w:r>
      <w:r w:rsidR="009D2D2A">
        <w:rPr>
          <w:sz w:val="20"/>
          <w:szCs w:val="20"/>
        </w:rPr>
        <w:t xml:space="preserve"> (none to many per location – can coexist with buildings)</w:t>
      </w:r>
    </w:p>
    <w:p w14:paraId="74D45B60" w14:textId="5730D12D" w:rsidR="00CE6D03" w:rsidRDefault="00CE6D03" w:rsidP="009D2D2A">
      <w:pPr>
        <w:rPr>
          <w:sz w:val="20"/>
          <w:szCs w:val="20"/>
        </w:rPr>
      </w:pPr>
      <w:r>
        <w:rPr>
          <w:sz w:val="20"/>
          <w:szCs w:val="20"/>
        </w:rPr>
        <w:tab/>
      </w:r>
      <w:r>
        <w:rPr>
          <w:sz w:val="20"/>
          <w:szCs w:val="20"/>
        </w:rPr>
        <w:tab/>
        <w:t>Special Class Business Income coverages</w:t>
      </w:r>
      <w:r w:rsidR="009D2D2A">
        <w:rPr>
          <w:sz w:val="20"/>
          <w:szCs w:val="20"/>
        </w:rPr>
        <w:t xml:space="preserve"> (none to many per Special Class)</w:t>
      </w:r>
    </w:p>
    <w:p w14:paraId="43441EE6" w14:textId="187464E3" w:rsidR="009D2D2A" w:rsidRDefault="009D2D2A" w:rsidP="009D2D2A">
      <w:pPr>
        <w:rPr>
          <w:sz w:val="20"/>
          <w:szCs w:val="20"/>
        </w:rPr>
      </w:pPr>
      <w:r>
        <w:rPr>
          <w:sz w:val="20"/>
          <w:szCs w:val="20"/>
        </w:rPr>
        <w:t>Stated differently: A location should have a least 1 building or special class.  A building may or may not have an occupancy or a business income.  An occupancy must have at least 1 personal property type.  A special class may or may not have a special class business income.</w:t>
      </w:r>
    </w:p>
    <w:p w14:paraId="444F1827" w14:textId="217D00E1" w:rsidR="009D2D2A" w:rsidRDefault="009D2D2A" w:rsidP="009D2D2A">
      <w:pPr>
        <w:rPr>
          <w:sz w:val="20"/>
          <w:szCs w:val="20"/>
        </w:rPr>
      </w:pPr>
      <w:r>
        <w:rPr>
          <w:sz w:val="20"/>
          <w:szCs w:val="20"/>
        </w:rPr>
        <w:t>Another feature of Commercial Property that hasn’t been discussed yet is the concept of a “Blanket Group”.  A “Blanket Group</w:t>
      </w:r>
      <w:r w:rsidR="007B06F7">
        <w:rPr>
          <w:sz w:val="20"/>
          <w:szCs w:val="20"/>
        </w:rPr>
        <w:t>”</w:t>
      </w:r>
      <w:r>
        <w:rPr>
          <w:sz w:val="20"/>
          <w:szCs w:val="20"/>
        </w:rPr>
        <w:t xml:space="preserve"> is used to group together things that will be insured as a blanket, rather than an individual item.  </w:t>
      </w:r>
      <w:r>
        <w:rPr>
          <w:sz w:val="20"/>
          <w:szCs w:val="20"/>
        </w:rPr>
        <w:lastRenderedPageBreak/>
        <w:t>This concept is used in other products, like Businessowners.  It’s similar to the blanket concept in IM but is used on a different scale.</w:t>
      </w:r>
      <w:r w:rsidR="002439EC">
        <w:rPr>
          <w:sz w:val="20"/>
          <w:szCs w:val="20"/>
        </w:rPr>
        <w:t xml:space="preserve">  Blankets for IM are limited to a single type of item whereas these Property Blankets can include a variety of items</w:t>
      </w:r>
    </w:p>
    <w:p w14:paraId="2E0B2F21" w14:textId="661D56E7" w:rsidR="009D2D2A" w:rsidRDefault="002439EC" w:rsidP="002439EC">
      <w:pPr>
        <w:spacing w:after="0"/>
        <w:rPr>
          <w:sz w:val="20"/>
          <w:szCs w:val="20"/>
        </w:rPr>
      </w:pPr>
      <w:r>
        <w:rPr>
          <w:sz w:val="20"/>
          <w:szCs w:val="20"/>
        </w:rPr>
        <w:t>There are many kinds of blankets that can be offered:</w:t>
      </w:r>
    </w:p>
    <w:p w14:paraId="41207B76" w14:textId="45303731" w:rsidR="002439EC" w:rsidRDefault="002439EC" w:rsidP="002439EC">
      <w:pPr>
        <w:pStyle w:val="ListParagraph"/>
        <w:numPr>
          <w:ilvl w:val="0"/>
          <w:numId w:val="3"/>
        </w:numPr>
        <w:rPr>
          <w:sz w:val="20"/>
          <w:szCs w:val="20"/>
        </w:rPr>
      </w:pPr>
      <w:r>
        <w:rPr>
          <w:sz w:val="20"/>
          <w:szCs w:val="20"/>
        </w:rPr>
        <w:t>Building and Personal Property Combined (which can be limited to full Earthquake)</w:t>
      </w:r>
    </w:p>
    <w:p w14:paraId="1ED7D9BA" w14:textId="75BE9104" w:rsidR="002439EC" w:rsidRDefault="002439EC" w:rsidP="002439EC">
      <w:pPr>
        <w:pStyle w:val="ListParagraph"/>
        <w:numPr>
          <w:ilvl w:val="0"/>
          <w:numId w:val="3"/>
        </w:numPr>
        <w:rPr>
          <w:sz w:val="20"/>
          <w:szCs w:val="20"/>
        </w:rPr>
      </w:pPr>
      <w:r>
        <w:rPr>
          <w:sz w:val="20"/>
          <w:szCs w:val="20"/>
        </w:rPr>
        <w:t>Building only</w:t>
      </w:r>
    </w:p>
    <w:p w14:paraId="2ACE2DDB" w14:textId="31A867F2" w:rsidR="002439EC" w:rsidRDefault="002439EC" w:rsidP="002439EC">
      <w:pPr>
        <w:pStyle w:val="ListParagraph"/>
        <w:numPr>
          <w:ilvl w:val="0"/>
          <w:numId w:val="3"/>
        </w:numPr>
        <w:rPr>
          <w:sz w:val="20"/>
          <w:szCs w:val="20"/>
        </w:rPr>
      </w:pPr>
      <w:r>
        <w:rPr>
          <w:sz w:val="20"/>
          <w:szCs w:val="20"/>
        </w:rPr>
        <w:t>Personal Property only</w:t>
      </w:r>
    </w:p>
    <w:p w14:paraId="24A88D7A" w14:textId="79261873" w:rsidR="002439EC" w:rsidRDefault="002439EC" w:rsidP="002439EC">
      <w:pPr>
        <w:pStyle w:val="ListParagraph"/>
        <w:numPr>
          <w:ilvl w:val="0"/>
          <w:numId w:val="3"/>
        </w:numPr>
        <w:rPr>
          <w:sz w:val="20"/>
          <w:szCs w:val="20"/>
        </w:rPr>
      </w:pPr>
      <w:r>
        <w:rPr>
          <w:sz w:val="20"/>
          <w:szCs w:val="20"/>
        </w:rPr>
        <w:t>Business Income – with or without extra expense</w:t>
      </w:r>
    </w:p>
    <w:p w14:paraId="4584DEED" w14:textId="7E9FA0D9" w:rsidR="002439EC" w:rsidRDefault="002439EC" w:rsidP="002439EC">
      <w:pPr>
        <w:pStyle w:val="ListParagraph"/>
        <w:numPr>
          <w:ilvl w:val="0"/>
          <w:numId w:val="3"/>
        </w:numPr>
        <w:rPr>
          <w:sz w:val="20"/>
          <w:szCs w:val="20"/>
        </w:rPr>
      </w:pPr>
      <w:r>
        <w:rPr>
          <w:sz w:val="20"/>
          <w:szCs w:val="20"/>
        </w:rPr>
        <w:t>Earthquake and Volcano Sub Limit</w:t>
      </w:r>
    </w:p>
    <w:p w14:paraId="4CEAA52F" w14:textId="70C414A6" w:rsidR="002439EC" w:rsidRDefault="002439EC" w:rsidP="002439EC">
      <w:pPr>
        <w:pStyle w:val="ListParagraph"/>
        <w:numPr>
          <w:ilvl w:val="0"/>
          <w:numId w:val="3"/>
        </w:numPr>
        <w:rPr>
          <w:sz w:val="20"/>
          <w:szCs w:val="20"/>
        </w:rPr>
      </w:pPr>
      <w:r>
        <w:rPr>
          <w:sz w:val="20"/>
          <w:szCs w:val="20"/>
        </w:rPr>
        <w:t>Flood (Full limit and sub limit)</w:t>
      </w:r>
    </w:p>
    <w:p w14:paraId="2D592230" w14:textId="2E7C076D" w:rsidR="002439EC" w:rsidRDefault="002439EC" w:rsidP="002439EC">
      <w:pPr>
        <w:rPr>
          <w:sz w:val="20"/>
          <w:szCs w:val="20"/>
        </w:rPr>
      </w:pPr>
      <w:r>
        <w:rPr>
          <w:sz w:val="20"/>
          <w:szCs w:val="20"/>
        </w:rPr>
        <w:t>Special Class can be added to any blanket that has a building on it.  Special Class Business Income can be added to any Business Income blanket.</w:t>
      </w:r>
    </w:p>
    <w:p w14:paraId="6735A228" w14:textId="2A7CC5B3" w:rsidR="002439EC" w:rsidRDefault="002439EC" w:rsidP="002439EC">
      <w:pPr>
        <w:rPr>
          <w:sz w:val="20"/>
          <w:szCs w:val="20"/>
        </w:rPr>
      </w:pPr>
      <w:r>
        <w:rPr>
          <w:sz w:val="20"/>
          <w:szCs w:val="20"/>
        </w:rPr>
        <w:t>The blanket limit, coinsurance, and other selections apply to every entry included in the blanket.  This is then reflected in the entry for this item later on in the dec pages (or quote.)</w:t>
      </w:r>
    </w:p>
    <w:p w14:paraId="0FB9387A" w14:textId="4805CD30" w:rsidR="002439EC" w:rsidRDefault="002439EC" w:rsidP="002439EC">
      <w:pPr>
        <w:rPr>
          <w:sz w:val="20"/>
          <w:szCs w:val="20"/>
        </w:rPr>
      </w:pPr>
      <w:r>
        <w:rPr>
          <w:sz w:val="20"/>
          <w:szCs w:val="20"/>
        </w:rPr>
        <w:t>Here is an example from the CL Property Dec mockup:</w:t>
      </w:r>
    </w:p>
    <w:p w14:paraId="219D766B" w14:textId="1EA555A5" w:rsidR="002439EC" w:rsidRDefault="002439EC" w:rsidP="002439EC">
      <w:pPr>
        <w:rPr>
          <w:sz w:val="20"/>
          <w:szCs w:val="20"/>
        </w:rPr>
      </w:pPr>
      <w:r>
        <w:rPr>
          <w:noProof/>
        </w:rPr>
        <w:drawing>
          <wp:inline distT="0" distB="0" distL="0" distR="0" wp14:anchorId="0FC31425" wp14:editId="4CF64441">
            <wp:extent cx="3752850" cy="1806457"/>
            <wp:effectExtent l="0" t="0" r="0" b="381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7"/>
                    <a:stretch>
                      <a:fillRect/>
                    </a:stretch>
                  </pic:blipFill>
                  <pic:spPr>
                    <a:xfrm>
                      <a:off x="0" y="0"/>
                      <a:ext cx="3766137" cy="1812853"/>
                    </a:xfrm>
                    <a:prstGeom prst="rect">
                      <a:avLst/>
                    </a:prstGeom>
                  </pic:spPr>
                </pic:pic>
              </a:graphicData>
            </a:graphic>
          </wp:inline>
        </w:drawing>
      </w:r>
    </w:p>
    <w:p w14:paraId="47D36139" w14:textId="54900797" w:rsidR="002439EC" w:rsidRDefault="002439EC" w:rsidP="002439EC">
      <w:pPr>
        <w:rPr>
          <w:sz w:val="20"/>
          <w:szCs w:val="20"/>
        </w:rPr>
      </w:pPr>
      <w:r>
        <w:rPr>
          <w:noProof/>
        </w:rPr>
        <w:drawing>
          <wp:inline distT="0" distB="0" distL="0" distR="0" wp14:anchorId="5EDC6C00" wp14:editId="3D111CF0">
            <wp:extent cx="3677417" cy="1866900"/>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8"/>
                    <a:stretch>
                      <a:fillRect/>
                    </a:stretch>
                  </pic:blipFill>
                  <pic:spPr>
                    <a:xfrm>
                      <a:off x="0" y="0"/>
                      <a:ext cx="3696065" cy="1876367"/>
                    </a:xfrm>
                    <a:prstGeom prst="rect">
                      <a:avLst/>
                    </a:prstGeom>
                  </pic:spPr>
                </pic:pic>
              </a:graphicData>
            </a:graphic>
          </wp:inline>
        </w:drawing>
      </w:r>
    </w:p>
    <w:p w14:paraId="348014FB" w14:textId="0A0CAED2" w:rsidR="002439EC" w:rsidRPr="002439EC" w:rsidRDefault="00F50499" w:rsidP="002439EC">
      <w:pPr>
        <w:rPr>
          <w:sz w:val="20"/>
          <w:szCs w:val="20"/>
        </w:rPr>
      </w:pPr>
      <w:r>
        <w:rPr>
          <w:noProof/>
        </w:rPr>
        <w:drawing>
          <wp:inline distT="0" distB="0" distL="0" distR="0" wp14:anchorId="239B5DCC" wp14:editId="53BA6905">
            <wp:extent cx="3652594" cy="838200"/>
            <wp:effectExtent l="0" t="0" r="508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9"/>
                    <a:stretch>
                      <a:fillRect/>
                    </a:stretch>
                  </pic:blipFill>
                  <pic:spPr>
                    <a:xfrm>
                      <a:off x="0" y="0"/>
                      <a:ext cx="3666682" cy="841433"/>
                    </a:xfrm>
                    <a:prstGeom prst="rect">
                      <a:avLst/>
                    </a:prstGeom>
                  </pic:spPr>
                </pic:pic>
              </a:graphicData>
            </a:graphic>
          </wp:inline>
        </w:drawing>
      </w:r>
    </w:p>
    <w:sectPr w:rsidR="002439EC" w:rsidRPr="002439E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DC035" w14:textId="77777777" w:rsidR="00F552B9" w:rsidRDefault="00F552B9" w:rsidP="00F552B9">
      <w:pPr>
        <w:spacing w:after="0" w:line="240" w:lineRule="auto"/>
      </w:pPr>
      <w:r>
        <w:separator/>
      </w:r>
    </w:p>
  </w:endnote>
  <w:endnote w:type="continuationSeparator" w:id="0">
    <w:p w14:paraId="4A2155E4" w14:textId="77777777" w:rsidR="00F552B9" w:rsidRDefault="00F552B9" w:rsidP="00F55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82337" w14:textId="77777777" w:rsidR="00F552B9" w:rsidRDefault="00F552B9" w:rsidP="00F552B9">
      <w:pPr>
        <w:spacing w:after="0" w:line="240" w:lineRule="auto"/>
      </w:pPr>
      <w:r>
        <w:separator/>
      </w:r>
    </w:p>
  </w:footnote>
  <w:footnote w:type="continuationSeparator" w:id="0">
    <w:p w14:paraId="7B01B1F9" w14:textId="77777777" w:rsidR="00F552B9" w:rsidRDefault="00F552B9" w:rsidP="00F55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EF63E" w14:textId="2F4FA9A2" w:rsidR="00F552B9" w:rsidRDefault="00F552B9">
    <w:pPr>
      <w:pStyle w:val="Header"/>
    </w:pPr>
    <w:r>
      <w:rPr>
        <w:noProof/>
      </w:rPr>
      <mc:AlternateContent>
        <mc:Choice Requires="wps">
          <w:drawing>
            <wp:anchor distT="0" distB="0" distL="118745" distR="118745" simplePos="0" relativeHeight="251659264" behindDoc="1" locked="0" layoutInCell="1" allowOverlap="0" wp14:anchorId="1E2B7702" wp14:editId="0481425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37BD483E" w:rsidR="00F552B9" w:rsidRPr="00F552B9" w:rsidRDefault="00433282">
                              <w:pPr>
                                <w:pStyle w:val="Header"/>
                                <w:tabs>
                                  <w:tab w:val="clear" w:pos="4680"/>
                                  <w:tab w:val="clear" w:pos="9360"/>
                                </w:tabs>
                                <w:jc w:val="center"/>
                                <w:rPr>
                                  <w:caps/>
                                  <w:color w:val="FFFFFF" w:themeColor="background1"/>
                                  <w:sz w:val="32"/>
                                  <w:szCs w:val="32"/>
                                </w:rPr>
                              </w:pPr>
                              <w:r>
                                <w:rPr>
                                  <w:caps/>
                                  <w:color w:val="FFFFFF" w:themeColor="background1"/>
                                  <w:sz w:val="32"/>
                                  <w:szCs w:val="32"/>
                                </w:rPr>
                                <w:t xml:space="preserve">Commercial </w:t>
                              </w:r>
                              <w:r w:rsidR="00A84A6C">
                                <w:rPr>
                                  <w:caps/>
                                  <w:color w:val="FFFFFF" w:themeColor="background1"/>
                                  <w:sz w:val="32"/>
                                  <w:szCs w:val="32"/>
                                </w:rPr>
                                <w:t>Property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E2B7702"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49e39 [3204]" stroked="f" strokeweight="1pt">
              <v:textbox style="mso-fit-shape-to-text:t">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37BD483E" w:rsidR="00F552B9" w:rsidRPr="00F552B9" w:rsidRDefault="00433282">
                        <w:pPr>
                          <w:pStyle w:val="Header"/>
                          <w:tabs>
                            <w:tab w:val="clear" w:pos="4680"/>
                            <w:tab w:val="clear" w:pos="9360"/>
                          </w:tabs>
                          <w:jc w:val="center"/>
                          <w:rPr>
                            <w:caps/>
                            <w:color w:val="FFFFFF" w:themeColor="background1"/>
                            <w:sz w:val="32"/>
                            <w:szCs w:val="32"/>
                          </w:rPr>
                        </w:pPr>
                        <w:r>
                          <w:rPr>
                            <w:caps/>
                            <w:color w:val="FFFFFF" w:themeColor="background1"/>
                            <w:sz w:val="32"/>
                            <w:szCs w:val="32"/>
                          </w:rPr>
                          <w:t xml:space="preserve">Commercial </w:t>
                        </w:r>
                        <w:r w:rsidR="00A84A6C">
                          <w:rPr>
                            <w:caps/>
                            <w:color w:val="FFFFFF" w:themeColor="background1"/>
                            <w:sz w:val="32"/>
                            <w:szCs w:val="32"/>
                          </w:rPr>
                          <w:t>Property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4330B"/>
    <w:multiLevelType w:val="hybridMultilevel"/>
    <w:tmpl w:val="C8C02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4236B"/>
    <w:multiLevelType w:val="hybridMultilevel"/>
    <w:tmpl w:val="F6E45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A87985"/>
    <w:multiLevelType w:val="hybridMultilevel"/>
    <w:tmpl w:val="485C5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5332696">
    <w:abstractNumId w:val="0"/>
  </w:num>
  <w:num w:numId="2" w16cid:durableId="1572814968">
    <w:abstractNumId w:val="1"/>
  </w:num>
  <w:num w:numId="3" w16cid:durableId="860316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75"/>
    <w:rsid w:val="001347E8"/>
    <w:rsid w:val="002439EC"/>
    <w:rsid w:val="002B1F75"/>
    <w:rsid w:val="00433282"/>
    <w:rsid w:val="0047757A"/>
    <w:rsid w:val="004F6BC6"/>
    <w:rsid w:val="00510FDC"/>
    <w:rsid w:val="0057627D"/>
    <w:rsid w:val="00646630"/>
    <w:rsid w:val="006469D6"/>
    <w:rsid w:val="00725176"/>
    <w:rsid w:val="007B06F7"/>
    <w:rsid w:val="007E2F3B"/>
    <w:rsid w:val="009258AC"/>
    <w:rsid w:val="009D2D2A"/>
    <w:rsid w:val="00A84A6C"/>
    <w:rsid w:val="00AA5EA0"/>
    <w:rsid w:val="00B35703"/>
    <w:rsid w:val="00CB0851"/>
    <w:rsid w:val="00CE6D03"/>
    <w:rsid w:val="00DB4FB0"/>
    <w:rsid w:val="00DF294F"/>
    <w:rsid w:val="00E05484"/>
    <w:rsid w:val="00E467E8"/>
    <w:rsid w:val="00F50499"/>
    <w:rsid w:val="00F552B9"/>
    <w:rsid w:val="00F95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DDA1F46"/>
  <w15:chartTrackingRefBased/>
  <w15:docId w15:val="{F9B30B10-58B8-459A-84C6-F82CB37D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5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2B9"/>
  </w:style>
  <w:style w:type="paragraph" w:styleId="Footer">
    <w:name w:val="footer"/>
    <w:basedOn w:val="Normal"/>
    <w:link w:val="FooterChar"/>
    <w:uiPriority w:val="99"/>
    <w:unhideWhenUsed/>
    <w:rsid w:val="00F55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2B9"/>
  </w:style>
  <w:style w:type="paragraph" w:styleId="ListParagraph">
    <w:name w:val="List Paragraph"/>
    <w:basedOn w:val="Normal"/>
    <w:uiPriority w:val="34"/>
    <w:qFormat/>
    <w:rsid w:val="00433282"/>
    <w:pPr>
      <w:ind w:left="720"/>
      <w:contextualSpacing/>
    </w:pPr>
  </w:style>
  <w:style w:type="table" w:styleId="TableGrid">
    <w:name w:val="Table Grid"/>
    <w:basedOn w:val="TableNormal"/>
    <w:uiPriority w:val="39"/>
    <w:rsid w:val="00725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1555</TotalTime>
  <Pages>2</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Commercial General Liability</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Property</dc:title>
  <dc:subject/>
  <dc:creator>Ellis, Liz</dc:creator>
  <cp:keywords/>
  <dc:description/>
  <cp:lastModifiedBy>Ellis, Liz</cp:lastModifiedBy>
  <cp:revision>11</cp:revision>
  <dcterms:created xsi:type="dcterms:W3CDTF">2022-09-25T19:21:00Z</dcterms:created>
  <dcterms:modified xsi:type="dcterms:W3CDTF">2022-10-09T14:50:00Z</dcterms:modified>
</cp:coreProperties>
</file>