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41C3D" w14:textId="7A61FEA2" w:rsidR="006A653C" w:rsidRDefault="00F552B9" w:rsidP="00C42342">
      <w:pPr>
        <w:spacing w:after="0"/>
        <w:rPr>
          <w:sz w:val="20"/>
          <w:szCs w:val="20"/>
        </w:rPr>
      </w:pPr>
      <w:r w:rsidRPr="009258AC">
        <w:rPr>
          <w:sz w:val="20"/>
          <w:szCs w:val="20"/>
        </w:rPr>
        <w:t xml:space="preserve">Commercial </w:t>
      </w:r>
      <w:r w:rsidR="00C42342">
        <w:rPr>
          <w:sz w:val="20"/>
          <w:szCs w:val="20"/>
        </w:rPr>
        <w:t>Umbrella policies work similar to PL umbrella policies.  There’s one to many underlying policies that provide a certain level of coverage.  The umbrella sits over these policies and offers the opportunity to increase limits on specific coverages in the policy group.</w:t>
      </w:r>
    </w:p>
    <w:p w14:paraId="1C72802B" w14:textId="0427740B" w:rsidR="00C42342" w:rsidRDefault="00C42342" w:rsidP="00C42342">
      <w:pPr>
        <w:spacing w:after="0"/>
        <w:rPr>
          <w:sz w:val="20"/>
          <w:szCs w:val="20"/>
        </w:rPr>
      </w:pPr>
    </w:p>
    <w:p w14:paraId="789B759A" w14:textId="33AF0407" w:rsidR="00C42342" w:rsidRDefault="00C42342" w:rsidP="00C42342">
      <w:pPr>
        <w:spacing w:after="0"/>
        <w:rPr>
          <w:sz w:val="20"/>
          <w:szCs w:val="20"/>
        </w:rPr>
      </w:pPr>
      <w:r>
        <w:rPr>
          <w:sz w:val="20"/>
          <w:szCs w:val="20"/>
        </w:rPr>
        <w:t>It is important to note that an umbrella is NOT the same as a package.  A package is a single policy that provides coverage for multiple products.  Limits are set based on what is possible for that product.  An umbrella policy groups together one to many underlying policies (each with their own policy number) and offers the ability to increase those underlying limits by adding coverages to the umbrella policy – not the underlying policy.</w:t>
      </w:r>
    </w:p>
    <w:p w14:paraId="5C3A3E82" w14:textId="417CE362" w:rsidR="00C42342" w:rsidRDefault="00C42342" w:rsidP="00C42342">
      <w:pPr>
        <w:spacing w:after="0"/>
        <w:rPr>
          <w:sz w:val="20"/>
          <w:szCs w:val="20"/>
        </w:rPr>
      </w:pPr>
    </w:p>
    <w:p w14:paraId="6F2BFE7D" w14:textId="4F564EA1" w:rsidR="00C42342" w:rsidRDefault="00C42342" w:rsidP="00C42342">
      <w:pPr>
        <w:spacing w:after="0"/>
        <w:rPr>
          <w:sz w:val="20"/>
          <w:szCs w:val="20"/>
        </w:rPr>
      </w:pPr>
      <w:r>
        <w:rPr>
          <w:sz w:val="20"/>
          <w:szCs w:val="20"/>
        </w:rPr>
        <w:t>Umbrella policies are NOT eligible to be 36-month policies since they are not a package.</w:t>
      </w:r>
    </w:p>
    <w:p w14:paraId="3D1361DC" w14:textId="2B9E19ED" w:rsidR="00C42342" w:rsidRDefault="00C42342" w:rsidP="00C42342">
      <w:pPr>
        <w:spacing w:after="0"/>
        <w:rPr>
          <w:sz w:val="20"/>
          <w:szCs w:val="20"/>
        </w:rPr>
      </w:pPr>
    </w:p>
    <w:p w14:paraId="6B556D3D" w14:textId="3C2DF836" w:rsidR="00C42342" w:rsidRDefault="00C42342" w:rsidP="00C42342">
      <w:pPr>
        <w:spacing w:after="0"/>
        <w:rPr>
          <w:sz w:val="20"/>
          <w:szCs w:val="20"/>
        </w:rPr>
      </w:pPr>
      <w:r>
        <w:rPr>
          <w:sz w:val="20"/>
          <w:szCs w:val="20"/>
        </w:rPr>
        <w:t xml:space="preserve">Umbrellas also only highlight specific coverages that exist on the underlying policies.  They do not get into all the limits for every coverage.  They typically focus on liability related coverages.  If there are underlying CL Auto policies, this includes Uninsured and/or Underinsured </w:t>
      </w:r>
      <w:r w:rsidR="002E4267">
        <w:rPr>
          <w:sz w:val="20"/>
          <w:szCs w:val="20"/>
        </w:rPr>
        <w:t>M</w:t>
      </w:r>
      <w:r>
        <w:rPr>
          <w:sz w:val="20"/>
          <w:szCs w:val="20"/>
        </w:rPr>
        <w:t>otorist coverages, as applicable by state.</w:t>
      </w:r>
    </w:p>
    <w:p w14:paraId="4A97F5F9" w14:textId="42C440CD" w:rsidR="002E4267" w:rsidRDefault="002E4267" w:rsidP="00C42342">
      <w:pPr>
        <w:spacing w:after="0"/>
        <w:rPr>
          <w:sz w:val="20"/>
          <w:szCs w:val="20"/>
        </w:rPr>
      </w:pPr>
    </w:p>
    <w:p w14:paraId="7DF6CF29" w14:textId="2246FC89" w:rsidR="002E4267" w:rsidRDefault="002E4267" w:rsidP="00C42342">
      <w:pPr>
        <w:spacing w:after="0"/>
        <w:rPr>
          <w:sz w:val="20"/>
          <w:szCs w:val="20"/>
        </w:rPr>
      </w:pPr>
      <w:r>
        <w:rPr>
          <w:sz w:val="20"/>
          <w:szCs w:val="20"/>
        </w:rPr>
        <w:t>Umbrellas can include policies from other carriers as well.  In these cases, applicable limits on the policies from other carriers have to be manually entered into the system so they can be shown on the umbrella dec or quote.</w:t>
      </w:r>
    </w:p>
    <w:p w14:paraId="7CEB9AAD" w14:textId="7599CFE9" w:rsidR="002E4267" w:rsidRDefault="002E4267" w:rsidP="00C42342">
      <w:pPr>
        <w:spacing w:after="0"/>
        <w:rPr>
          <w:sz w:val="20"/>
          <w:szCs w:val="20"/>
        </w:rPr>
      </w:pPr>
    </w:p>
    <w:p w14:paraId="28CA2198" w14:textId="55D9B1BE" w:rsidR="002E4267" w:rsidRDefault="002E4267" w:rsidP="00C42342">
      <w:pPr>
        <w:spacing w:after="0"/>
        <w:rPr>
          <w:sz w:val="20"/>
          <w:szCs w:val="20"/>
        </w:rPr>
      </w:pPr>
      <w:r>
        <w:rPr>
          <w:sz w:val="20"/>
          <w:szCs w:val="20"/>
        </w:rPr>
        <w:t>The coverage forms on the Umbrella can be influenced by the coverages on the underlying policies – if the underlying policy is in Policy Center.  There are inference rules that are written especially for these situations.  However, it’s important to note that the forms listing for the umbrella policy ONLY includes the forms on the umbrella and NOT any of the underlying policies.</w:t>
      </w:r>
    </w:p>
    <w:p w14:paraId="1B84AA0E" w14:textId="4B7CA15E" w:rsidR="002E4267" w:rsidRDefault="002E4267" w:rsidP="00C42342">
      <w:pPr>
        <w:spacing w:after="0"/>
        <w:rPr>
          <w:sz w:val="20"/>
          <w:szCs w:val="20"/>
        </w:rPr>
      </w:pPr>
    </w:p>
    <w:p w14:paraId="07477B87" w14:textId="206E7D7A" w:rsidR="002E4267" w:rsidRDefault="002E4267" w:rsidP="00C42342">
      <w:pPr>
        <w:spacing w:after="0"/>
        <w:rPr>
          <w:sz w:val="20"/>
          <w:szCs w:val="20"/>
        </w:rPr>
      </w:pPr>
      <w:r>
        <w:rPr>
          <w:sz w:val="20"/>
          <w:szCs w:val="20"/>
        </w:rPr>
        <w:t>An umbrella can contain any of the following underlying policy types:</w:t>
      </w:r>
    </w:p>
    <w:p w14:paraId="49D07C2C" w14:textId="4898A0AC" w:rsidR="002E4267" w:rsidRDefault="002E4267" w:rsidP="002E4267">
      <w:pPr>
        <w:spacing w:after="0"/>
        <w:ind w:left="720"/>
        <w:rPr>
          <w:sz w:val="20"/>
          <w:szCs w:val="20"/>
        </w:rPr>
      </w:pPr>
      <w:r>
        <w:rPr>
          <w:sz w:val="20"/>
          <w:szCs w:val="20"/>
        </w:rPr>
        <w:t>Farm</w:t>
      </w:r>
    </w:p>
    <w:p w14:paraId="2258D083" w14:textId="593BEE01" w:rsidR="002E4267" w:rsidRDefault="002E4267" w:rsidP="002E4267">
      <w:pPr>
        <w:spacing w:after="0"/>
        <w:ind w:left="720"/>
        <w:rPr>
          <w:sz w:val="20"/>
          <w:szCs w:val="20"/>
        </w:rPr>
      </w:pPr>
      <w:r>
        <w:rPr>
          <w:sz w:val="20"/>
          <w:szCs w:val="20"/>
        </w:rPr>
        <w:t>Businessowners (BOP)</w:t>
      </w:r>
    </w:p>
    <w:p w14:paraId="6B2687E2" w14:textId="0A4322E2" w:rsidR="002E4267" w:rsidRDefault="002E4267" w:rsidP="002E4267">
      <w:pPr>
        <w:spacing w:after="0"/>
        <w:ind w:left="720"/>
        <w:rPr>
          <w:sz w:val="20"/>
          <w:szCs w:val="20"/>
        </w:rPr>
      </w:pPr>
      <w:r>
        <w:rPr>
          <w:sz w:val="20"/>
          <w:szCs w:val="20"/>
        </w:rPr>
        <w:t>Worker’s Compensation</w:t>
      </w:r>
    </w:p>
    <w:p w14:paraId="4C9DE1C3" w14:textId="18911736" w:rsidR="002E4267" w:rsidRDefault="002E4267" w:rsidP="002E4267">
      <w:pPr>
        <w:spacing w:after="0"/>
        <w:ind w:left="720"/>
        <w:rPr>
          <w:sz w:val="20"/>
          <w:szCs w:val="20"/>
        </w:rPr>
      </w:pPr>
      <w:r>
        <w:rPr>
          <w:sz w:val="20"/>
          <w:szCs w:val="20"/>
        </w:rPr>
        <w:t>General Liability</w:t>
      </w:r>
    </w:p>
    <w:p w14:paraId="11343D53" w14:textId="353A054F" w:rsidR="002E4267" w:rsidRDefault="002E4267" w:rsidP="002E4267">
      <w:pPr>
        <w:spacing w:after="0"/>
        <w:ind w:left="720"/>
        <w:rPr>
          <w:sz w:val="20"/>
          <w:szCs w:val="20"/>
        </w:rPr>
      </w:pPr>
      <w:r>
        <w:rPr>
          <w:sz w:val="20"/>
          <w:szCs w:val="20"/>
        </w:rPr>
        <w:t>Commerical Auto/Garagekeepers</w:t>
      </w:r>
    </w:p>
    <w:p w14:paraId="0DEA8A3C" w14:textId="5BEA913F" w:rsidR="002E4267" w:rsidRDefault="002E4267" w:rsidP="002E4267">
      <w:pPr>
        <w:spacing w:after="0"/>
        <w:ind w:left="720"/>
        <w:rPr>
          <w:sz w:val="20"/>
          <w:szCs w:val="20"/>
        </w:rPr>
      </w:pPr>
      <w:r>
        <w:rPr>
          <w:sz w:val="20"/>
          <w:szCs w:val="20"/>
        </w:rPr>
        <w:t>Personal Boatowners – Commercial boats must be written on a PL policy at Grange</w:t>
      </w:r>
    </w:p>
    <w:p w14:paraId="5DE58AC8" w14:textId="5BA2BB55" w:rsidR="002E4267" w:rsidRDefault="002E4267" w:rsidP="002E4267">
      <w:pPr>
        <w:spacing w:after="0"/>
        <w:ind w:left="720"/>
        <w:rPr>
          <w:sz w:val="20"/>
          <w:szCs w:val="20"/>
        </w:rPr>
      </w:pPr>
      <w:r>
        <w:rPr>
          <w:sz w:val="20"/>
          <w:szCs w:val="20"/>
        </w:rPr>
        <w:t>Personal Farm Auto – which is again a PL Auto policy</w:t>
      </w:r>
    </w:p>
    <w:p w14:paraId="26381138" w14:textId="4FF94A70" w:rsidR="002E4267" w:rsidRDefault="002E4267" w:rsidP="00C42342">
      <w:pPr>
        <w:spacing w:after="0"/>
        <w:rPr>
          <w:sz w:val="20"/>
          <w:szCs w:val="20"/>
        </w:rPr>
      </w:pPr>
    </w:p>
    <w:p w14:paraId="29A99443" w14:textId="77777777" w:rsidR="002E4267" w:rsidRDefault="002E4267" w:rsidP="00C42342">
      <w:pPr>
        <w:spacing w:after="0"/>
        <w:rPr>
          <w:sz w:val="20"/>
          <w:szCs w:val="20"/>
        </w:rPr>
      </w:pPr>
    </w:p>
    <w:p w14:paraId="2B659E91" w14:textId="348B6BBE" w:rsidR="006A653C" w:rsidRPr="00FA328B" w:rsidRDefault="006A653C" w:rsidP="00FA328B">
      <w:pPr>
        <w:rPr>
          <w:sz w:val="20"/>
          <w:szCs w:val="20"/>
        </w:rPr>
      </w:pPr>
    </w:p>
    <w:sectPr w:rsidR="006A653C" w:rsidRPr="00FA328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DC035" w14:textId="77777777" w:rsidR="00F552B9" w:rsidRDefault="00F552B9" w:rsidP="00F552B9">
      <w:pPr>
        <w:spacing w:after="0" w:line="240" w:lineRule="auto"/>
      </w:pPr>
      <w:r>
        <w:separator/>
      </w:r>
    </w:p>
  </w:endnote>
  <w:endnote w:type="continuationSeparator" w:id="0">
    <w:p w14:paraId="4A2155E4" w14:textId="77777777" w:rsidR="00F552B9" w:rsidRDefault="00F552B9" w:rsidP="00F5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82337" w14:textId="77777777" w:rsidR="00F552B9" w:rsidRDefault="00F552B9" w:rsidP="00F552B9">
      <w:pPr>
        <w:spacing w:after="0" w:line="240" w:lineRule="auto"/>
      </w:pPr>
      <w:r>
        <w:separator/>
      </w:r>
    </w:p>
  </w:footnote>
  <w:footnote w:type="continuationSeparator" w:id="0">
    <w:p w14:paraId="7B01B1F9" w14:textId="77777777" w:rsidR="00F552B9" w:rsidRDefault="00F552B9" w:rsidP="00F55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F63E" w14:textId="2F4FA9A2" w:rsidR="00F552B9" w:rsidRDefault="00F552B9">
    <w:pPr>
      <w:pStyle w:val="Header"/>
    </w:pPr>
    <w:r>
      <w:rPr>
        <w:noProof/>
      </w:rPr>
      <mc:AlternateContent>
        <mc:Choice Requires="wps">
          <w:drawing>
            <wp:anchor distT="0" distB="0" distL="118745" distR="118745" simplePos="0" relativeHeight="251659264" behindDoc="1" locked="0" layoutInCell="1" allowOverlap="0" wp14:anchorId="1E2B7702" wp14:editId="0481425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578A534F"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 xml:space="preserve">Commercial </w:t>
                              </w:r>
                              <w:r w:rsidR="00C42342">
                                <w:rPr>
                                  <w:caps/>
                                  <w:color w:val="FFFFFF" w:themeColor="background1"/>
                                  <w:sz w:val="32"/>
                                  <w:szCs w:val="32"/>
                                </w:rPr>
                                <w:t>umbrella</w:t>
                              </w:r>
                              <w:r w:rsidR="00FA328B">
                                <w:rPr>
                                  <w:caps/>
                                  <w:color w:val="FFFFFF" w:themeColor="background1"/>
                                  <w:sz w:val="32"/>
                                  <w:szCs w:val="32"/>
                                </w:rPr>
                                <w:t xml:space="preserve"> policy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2B7702"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49e39 [3204]" stroked="f" strokeweight="1pt">
              <v:textbox style="mso-fit-shape-to-text:t">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578A534F"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 xml:space="preserve">Commercial </w:t>
                        </w:r>
                        <w:r w:rsidR="00C42342">
                          <w:rPr>
                            <w:caps/>
                            <w:color w:val="FFFFFF" w:themeColor="background1"/>
                            <w:sz w:val="32"/>
                            <w:szCs w:val="32"/>
                          </w:rPr>
                          <w:t>umbrella</w:t>
                        </w:r>
                        <w:r w:rsidR="00FA328B">
                          <w:rPr>
                            <w:caps/>
                            <w:color w:val="FFFFFF" w:themeColor="background1"/>
                            <w:sz w:val="32"/>
                            <w:szCs w:val="32"/>
                          </w:rPr>
                          <w:t xml:space="preserve"> policy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4330B"/>
    <w:multiLevelType w:val="hybridMultilevel"/>
    <w:tmpl w:val="C8C0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4236B"/>
    <w:multiLevelType w:val="hybridMultilevel"/>
    <w:tmpl w:val="F6E45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D96C3D"/>
    <w:multiLevelType w:val="hybridMultilevel"/>
    <w:tmpl w:val="7A2ED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A87985"/>
    <w:multiLevelType w:val="hybridMultilevel"/>
    <w:tmpl w:val="485C5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332696">
    <w:abstractNumId w:val="0"/>
  </w:num>
  <w:num w:numId="2" w16cid:durableId="1572814968">
    <w:abstractNumId w:val="1"/>
  </w:num>
  <w:num w:numId="3" w16cid:durableId="860316821">
    <w:abstractNumId w:val="3"/>
  </w:num>
  <w:num w:numId="4" w16cid:durableId="445782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75"/>
    <w:rsid w:val="001347E8"/>
    <w:rsid w:val="002439EC"/>
    <w:rsid w:val="002B1F75"/>
    <w:rsid w:val="002E4267"/>
    <w:rsid w:val="003E2B88"/>
    <w:rsid w:val="00433282"/>
    <w:rsid w:val="0047757A"/>
    <w:rsid w:val="004F6BC6"/>
    <w:rsid w:val="00510FDC"/>
    <w:rsid w:val="0057627D"/>
    <w:rsid w:val="00646630"/>
    <w:rsid w:val="006469D6"/>
    <w:rsid w:val="006A653C"/>
    <w:rsid w:val="00725176"/>
    <w:rsid w:val="007B06F7"/>
    <w:rsid w:val="007E2F3B"/>
    <w:rsid w:val="009258AC"/>
    <w:rsid w:val="009D2D2A"/>
    <w:rsid w:val="00A84A6C"/>
    <w:rsid w:val="00AA5EA0"/>
    <w:rsid w:val="00B35703"/>
    <w:rsid w:val="00B41080"/>
    <w:rsid w:val="00C26885"/>
    <w:rsid w:val="00C42342"/>
    <w:rsid w:val="00CB0851"/>
    <w:rsid w:val="00CE6D03"/>
    <w:rsid w:val="00DB4FB0"/>
    <w:rsid w:val="00DF294F"/>
    <w:rsid w:val="00E05484"/>
    <w:rsid w:val="00E467E8"/>
    <w:rsid w:val="00F50499"/>
    <w:rsid w:val="00F552B9"/>
    <w:rsid w:val="00F953E1"/>
    <w:rsid w:val="00FA3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DDA1F46"/>
  <w15:chartTrackingRefBased/>
  <w15:docId w15:val="{F9B30B10-58B8-459A-84C6-F82CB37D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2B9"/>
  </w:style>
  <w:style w:type="paragraph" w:styleId="Footer">
    <w:name w:val="footer"/>
    <w:basedOn w:val="Normal"/>
    <w:link w:val="FooterChar"/>
    <w:uiPriority w:val="99"/>
    <w:unhideWhenUsed/>
    <w:rsid w:val="00F55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2B9"/>
  </w:style>
  <w:style w:type="paragraph" w:styleId="ListParagraph">
    <w:name w:val="List Paragraph"/>
    <w:basedOn w:val="Normal"/>
    <w:uiPriority w:val="34"/>
    <w:qFormat/>
    <w:rsid w:val="00433282"/>
    <w:pPr>
      <w:ind w:left="720"/>
      <w:contextualSpacing/>
    </w:pPr>
  </w:style>
  <w:style w:type="table" w:styleId="TableGrid">
    <w:name w:val="Table Grid"/>
    <w:basedOn w:val="TableNormal"/>
    <w:uiPriority w:val="39"/>
    <w:rsid w:val="00725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2624</TotalTime>
  <Pages>1</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Commercial Package policy</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umbrella policy</dc:title>
  <dc:subject/>
  <dc:creator>Ellis, Liz</dc:creator>
  <cp:keywords/>
  <dc:description/>
  <cp:lastModifiedBy>Ellis, Liz</cp:lastModifiedBy>
  <cp:revision>14</cp:revision>
  <dcterms:created xsi:type="dcterms:W3CDTF">2022-09-25T19:21:00Z</dcterms:created>
  <dcterms:modified xsi:type="dcterms:W3CDTF">2022-10-24T19:33:00Z</dcterms:modified>
</cp:coreProperties>
</file>