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Northbridge Retail Group</w:t>
      </w:r>
    </w:p>
    <w:p>
      <w:pPr>
        <w:jc w:val="center"/>
      </w:pPr>
      <w:r>
        <w:rPr>
          <w:sz w:val="24"/>
        </w:rPr>
        <w:t>Monthly Operating and Financial Data Pack — Synthetic Raw Source Document</w:t>
      </w:r>
    </w:p>
    <w:p>
      <w:r>
        <w:t>Reporting Period: January 2024 to December 2024</w:t>
      </w:r>
    </w:p>
    <w:p>
      <w:r>
        <w:t>Prepared for: Internal Management Review</w:t>
      </w:r>
    </w:p>
    <w:p>
      <w:r>
        <w:t>Note: This document contains synthetic test data only. It is intentionally raw and does not include pre-written risks, opportunities, or recommendations.</w:t>
      </w:r>
    </w:p>
    <w:p>
      <w:pPr>
        <w:pStyle w:val="Heading1"/>
      </w:pPr>
      <w:r>
        <w:t>1. Monthly Financial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t>Month</w:t>
            </w:r>
          </w:p>
        </w:tc>
        <w:tc>
          <w:tcPr>
            <w:tcW w:type="dxa" w:w="1440"/>
            <w:vAlign w:val="center"/>
          </w:tcPr>
          <w:p>
            <w:r>
              <w:t>Revenue ($M)</w:t>
            </w:r>
          </w:p>
        </w:tc>
        <w:tc>
          <w:tcPr>
            <w:tcW w:type="dxa" w:w="1440"/>
            <w:vAlign w:val="center"/>
          </w:tcPr>
          <w:p>
            <w:r>
              <w:t>COGS ($M)</w:t>
            </w:r>
          </w:p>
        </w:tc>
        <w:tc>
          <w:tcPr>
            <w:tcW w:type="dxa" w:w="1440"/>
            <w:vAlign w:val="center"/>
          </w:tcPr>
          <w:p>
            <w:r>
              <w:t>Gross Margin %</w:t>
            </w:r>
          </w:p>
        </w:tc>
        <w:tc>
          <w:tcPr>
            <w:tcW w:type="dxa" w:w="1440"/>
            <w:vAlign w:val="center"/>
          </w:tcPr>
          <w:p>
            <w:r>
              <w:t>Operating Expense ($M)</w:t>
            </w:r>
          </w:p>
        </w:tc>
        <w:tc>
          <w:tcPr>
            <w:tcW w:type="dxa" w:w="1440"/>
            <w:vAlign w:val="center"/>
          </w:tcPr>
          <w:p>
            <w:r>
              <w:t>EBITDA ($M)</w:t>
            </w:r>
          </w:p>
        </w:tc>
        <w:tc>
          <w:tcPr>
            <w:tcW w:type="dxa" w:w="1440"/>
            <w:vAlign w:val="center"/>
          </w:tcPr>
          <w:p>
            <w:r>
              <w:t>Cash Balance ($M)</w:t>
            </w:r>
          </w:p>
        </w:tc>
      </w:tr>
      <w:tr>
        <w:tc>
          <w:tcPr>
            <w:tcW w:type="dxa" w:w="1440"/>
          </w:tcPr>
          <w:p>
            <w:r>
              <w:t>Jan</w:t>
            </w:r>
          </w:p>
        </w:tc>
        <w:tc>
          <w:tcPr>
            <w:tcW w:type="dxa" w:w="1440"/>
          </w:tcPr>
          <w:p>
            <w:r>
              <w:t>42.1</w:t>
            </w:r>
          </w:p>
        </w:tc>
        <w:tc>
          <w:tcPr>
            <w:tcW w:type="dxa" w:w="1440"/>
          </w:tcPr>
          <w:p>
            <w:r>
              <w:t>24.7</w:t>
            </w:r>
          </w:p>
        </w:tc>
        <w:tc>
          <w:tcPr>
            <w:tcW w:type="dxa" w:w="1440"/>
          </w:tcPr>
          <w:p>
            <w:r>
              <w:t>41.3</w:t>
            </w:r>
          </w:p>
        </w:tc>
        <w:tc>
          <w:tcPr>
            <w:tcW w:type="dxa" w:w="1440"/>
          </w:tcPr>
          <w:p>
            <w:r>
              <w:t>11.8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31.5</w:t>
            </w:r>
          </w:p>
        </w:tc>
      </w:tr>
      <w:tr>
        <w:tc>
          <w:tcPr>
            <w:tcW w:type="dxa" w:w="1440"/>
          </w:tcPr>
          <w:p>
            <w:r>
              <w:t>Feb</w:t>
            </w:r>
          </w:p>
        </w:tc>
        <w:tc>
          <w:tcPr>
            <w:tcW w:type="dxa" w:w="1440"/>
          </w:tcPr>
          <w:p>
            <w:r>
              <w:t>43.5</w:t>
            </w:r>
          </w:p>
        </w:tc>
        <w:tc>
          <w:tcPr>
            <w:tcW w:type="dxa" w:w="1440"/>
          </w:tcPr>
          <w:p>
            <w:r>
              <w:t>25.5</w:t>
            </w:r>
          </w:p>
        </w:tc>
        <w:tc>
          <w:tcPr>
            <w:tcW w:type="dxa" w:w="1440"/>
          </w:tcPr>
          <w:p>
            <w:r>
              <w:t>41.4</w:t>
            </w:r>
          </w:p>
        </w:tc>
        <w:tc>
          <w:tcPr>
            <w:tcW w:type="dxa" w:w="1440"/>
          </w:tcPr>
          <w:p>
            <w:r>
              <w:t>12.2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30.8</w:t>
            </w:r>
          </w:p>
        </w:tc>
      </w:tr>
      <w:tr>
        <w:tc>
          <w:tcPr>
            <w:tcW w:type="dxa" w:w="1440"/>
          </w:tcPr>
          <w:p>
            <w:r>
              <w:t>Mar</w:t>
            </w:r>
          </w:p>
        </w:tc>
        <w:tc>
          <w:tcPr>
            <w:tcW w:type="dxa" w:w="1440"/>
          </w:tcPr>
          <w:p>
            <w:r>
              <w:t>45.2</w:t>
            </w:r>
          </w:p>
        </w:tc>
        <w:tc>
          <w:tcPr>
            <w:tcW w:type="dxa" w:w="1440"/>
          </w:tcPr>
          <w:p>
            <w:r>
              <w:t>26.1</w:t>
            </w:r>
          </w:p>
        </w:tc>
        <w:tc>
          <w:tcPr>
            <w:tcW w:type="dxa" w:w="1440"/>
          </w:tcPr>
          <w:p>
            <w:r>
              <w:t>42.3</w:t>
            </w:r>
          </w:p>
        </w:tc>
        <w:tc>
          <w:tcPr>
            <w:tcW w:type="dxa" w:w="1440"/>
          </w:tcPr>
          <w:p>
            <w:r>
              <w:t>12.6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29.9</w:t>
            </w:r>
          </w:p>
        </w:tc>
      </w:tr>
      <w:tr>
        <w:tc>
          <w:tcPr>
            <w:tcW w:type="dxa" w:w="1440"/>
          </w:tcPr>
          <w:p>
            <w:r>
              <w:t>Apr</w:t>
            </w:r>
          </w:p>
        </w:tc>
        <w:tc>
          <w:tcPr>
            <w:tcW w:type="dxa" w:w="1440"/>
          </w:tcPr>
          <w:p>
            <w:r>
              <w:t>47.8</w:t>
            </w:r>
          </w:p>
        </w:tc>
        <w:tc>
          <w:tcPr>
            <w:tcW w:type="dxa" w:w="1440"/>
          </w:tcPr>
          <w:p>
            <w:r>
              <w:t>27.9</w:t>
            </w:r>
          </w:p>
        </w:tc>
        <w:tc>
          <w:tcPr>
            <w:tcW w:type="dxa" w:w="1440"/>
          </w:tcPr>
          <w:p>
            <w:r>
              <w:t>41.6</w:t>
            </w:r>
          </w:p>
        </w:tc>
        <w:tc>
          <w:tcPr>
            <w:tcW w:type="dxa" w:w="1440"/>
          </w:tcPr>
          <w:p>
            <w:r>
              <w:t>13.1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29.1</w:t>
            </w:r>
          </w:p>
        </w:tc>
      </w:tr>
      <w:tr>
        <w:tc>
          <w:tcPr>
            <w:tcW w:type="dxa" w:w="1440"/>
          </w:tcPr>
          <w:p>
            <w:r>
              <w:t>May</w:t>
            </w:r>
          </w:p>
        </w:tc>
        <w:tc>
          <w:tcPr>
            <w:tcW w:type="dxa" w:w="1440"/>
          </w:tcPr>
          <w:p>
            <w:r>
              <w:t>49.5</w:t>
            </w:r>
          </w:p>
        </w:tc>
        <w:tc>
          <w:tcPr>
            <w:tcW w:type="dxa" w:w="1440"/>
          </w:tcPr>
          <w:p>
            <w:r>
              <w:t>28.4</w:t>
            </w:r>
          </w:p>
        </w:tc>
        <w:tc>
          <w:tcPr>
            <w:tcW w:type="dxa" w:w="1440"/>
          </w:tcPr>
          <w:p>
            <w:r>
              <w:t>42.6</w:t>
            </w:r>
          </w:p>
        </w:tc>
        <w:tc>
          <w:tcPr>
            <w:tcW w:type="dxa" w:w="1440"/>
          </w:tcPr>
          <w:p>
            <w:r>
              <w:t>13.9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28.0</w:t>
            </w:r>
          </w:p>
        </w:tc>
      </w:tr>
      <w:tr>
        <w:tc>
          <w:tcPr>
            <w:tcW w:type="dxa" w:w="1440"/>
          </w:tcPr>
          <w:p>
            <w:r>
              <w:t>Jun</w:t>
            </w:r>
          </w:p>
        </w:tc>
        <w:tc>
          <w:tcPr>
            <w:tcW w:type="dxa" w:w="1440"/>
          </w:tcPr>
          <w:p>
            <w:r>
              <w:t>51.4</w:t>
            </w:r>
          </w:p>
        </w:tc>
        <w:tc>
          <w:tcPr>
            <w:tcW w:type="dxa" w:w="1440"/>
          </w:tcPr>
          <w:p>
            <w:r>
              <w:t>29.9</w:t>
            </w:r>
          </w:p>
        </w:tc>
        <w:tc>
          <w:tcPr>
            <w:tcW w:type="dxa" w:w="1440"/>
          </w:tcPr>
          <w:p>
            <w:r>
              <w:t>41.8</w:t>
            </w:r>
          </w:p>
        </w:tc>
        <w:tc>
          <w:tcPr>
            <w:tcW w:type="dxa" w:w="1440"/>
          </w:tcPr>
          <w:p>
            <w:r>
              <w:t>14.7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26.9</w:t>
            </w:r>
          </w:p>
        </w:tc>
      </w:tr>
      <w:tr>
        <w:tc>
          <w:tcPr>
            <w:tcW w:type="dxa" w:w="1440"/>
          </w:tcPr>
          <w:p>
            <w:r>
              <w:t>Jul</w:t>
            </w:r>
          </w:p>
        </w:tc>
        <w:tc>
          <w:tcPr>
            <w:tcW w:type="dxa" w:w="1440"/>
          </w:tcPr>
          <w:p>
            <w:r>
              <w:t>53.9</w:t>
            </w:r>
          </w:p>
        </w:tc>
        <w:tc>
          <w:tcPr>
            <w:tcW w:type="dxa" w:w="1440"/>
          </w:tcPr>
          <w:p>
            <w:r>
              <w:t>31.0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15.2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25.5</w:t>
            </w:r>
          </w:p>
        </w:tc>
      </w:tr>
      <w:tr>
        <w:tc>
          <w:tcPr>
            <w:tcW w:type="dxa" w:w="1440"/>
          </w:tcPr>
          <w:p>
            <w:r>
              <w:t>Aug</w:t>
            </w:r>
          </w:p>
        </w:tc>
        <w:tc>
          <w:tcPr>
            <w:tcW w:type="dxa" w:w="1440"/>
          </w:tcPr>
          <w:p>
            <w:r>
              <w:t>56.1</w:t>
            </w:r>
          </w:p>
        </w:tc>
        <w:tc>
          <w:tcPr>
            <w:tcW w:type="dxa" w:w="1440"/>
          </w:tcPr>
          <w:p>
            <w:r>
              <w:t>32.8</w:t>
            </w:r>
          </w:p>
        </w:tc>
        <w:tc>
          <w:tcPr>
            <w:tcW w:type="dxa" w:w="1440"/>
          </w:tcPr>
          <w:p>
            <w:r>
              <w:t>41.5</w:t>
            </w:r>
          </w:p>
        </w:tc>
        <w:tc>
          <w:tcPr>
            <w:tcW w:type="dxa" w:w="1440"/>
          </w:tcPr>
          <w:p>
            <w:r>
              <w:t>15.8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24.7</w:t>
            </w:r>
          </w:p>
        </w:tc>
      </w:tr>
      <w:tr>
        <w:tc>
          <w:tcPr>
            <w:tcW w:type="dxa" w:w="1440"/>
          </w:tcPr>
          <w:p>
            <w:r>
              <w:t>Sep</w:t>
            </w:r>
          </w:p>
        </w:tc>
        <w:tc>
          <w:tcPr>
            <w:tcW w:type="dxa" w:w="1440"/>
          </w:tcPr>
          <w:p>
            <w:r>
              <w:t>58.4</w:t>
            </w:r>
          </w:p>
        </w:tc>
        <w:tc>
          <w:tcPr>
            <w:tcW w:type="dxa" w:w="1440"/>
          </w:tcPr>
          <w:p>
            <w:r>
              <w:t>34.5</w:t>
            </w:r>
          </w:p>
        </w:tc>
        <w:tc>
          <w:tcPr>
            <w:tcW w:type="dxa" w:w="1440"/>
          </w:tcPr>
          <w:p>
            <w:r>
              <w:t>40.9</w:t>
            </w:r>
          </w:p>
        </w:tc>
        <w:tc>
          <w:tcPr>
            <w:tcW w:type="dxa" w:w="1440"/>
          </w:tcPr>
          <w:p>
            <w:r>
              <w:t>16.4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23.6</w:t>
            </w:r>
          </w:p>
        </w:tc>
      </w:tr>
      <w:tr>
        <w:tc>
          <w:tcPr>
            <w:tcW w:type="dxa" w:w="1440"/>
          </w:tcPr>
          <w:p>
            <w:r>
              <w:t>Oct</w:t>
            </w:r>
          </w:p>
        </w:tc>
        <w:tc>
          <w:tcPr>
            <w:tcW w:type="dxa" w:w="1440"/>
          </w:tcPr>
          <w:p>
            <w:r>
              <w:t>61.2</w:t>
            </w:r>
          </w:p>
        </w:tc>
        <w:tc>
          <w:tcPr>
            <w:tcW w:type="dxa" w:w="1440"/>
          </w:tcPr>
          <w:p>
            <w:r>
              <w:t>36.8</w:t>
            </w:r>
          </w:p>
        </w:tc>
        <w:tc>
          <w:tcPr>
            <w:tcW w:type="dxa" w:w="1440"/>
          </w:tcPr>
          <w:p>
            <w:r>
              <w:t>39.9</w:t>
            </w:r>
          </w:p>
        </w:tc>
        <w:tc>
          <w:tcPr>
            <w:tcW w:type="dxa" w:w="1440"/>
          </w:tcPr>
          <w:p>
            <w:r>
              <w:t>17.0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22.4</w:t>
            </w:r>
          </w:p>
        </w:tc>
      </w:tr>
      <w:tr>
        <w:tc>
          <w:tcPr>
            <w:tcW w:type="dxa" w:w="1440"/>
          </w:tcPr>
          <w:p>
            <w:r>
              <w:t>Nov</w:t>
            </w:r>
          </w:p>
        </w:tc>
        <w:tc>
          <w:tcPr>
            <w:tcW w:type="dxa" w:w="1440"/>
          </w:tcPr>
          <w:p>
            <w:r>
              <w:t>64.5</w:t>
            </w:r>
          </w:p>
        </w:tc>
        <w:tc>
          <w:tcPr>
            <w:tcW w:type="dxa" w:w="1440"/>
          </w:tcPr>
          <w:p>
            <w:r>
              <w:t>39.2</w:t>
            </w:r>
          </w:p>
        </w:tc>
        <w:tc>
          <w:tcPr>
            <w:tcW w:type="dxa" w:w="1440"/>
          </w:tcPr>
          <w:p>
            <w:r>
              <w:t>39.2</w:t>
            </w:r>
          </w:p>
        </w:tc>
        <w:tc>
          <w:tcPr>
            <w:tcW w:type="dxa" w:w="1440"/>
          </w:tcPr>
          <w:p>
            <w:r>
              <w:t>17.8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21.8</w:t>
            </w:r>
          </w:p>
        </w:tc>
      </w:tr>
      <w:tr>
        <w:tc>
          <w:tcPr>
            <w:tcW w:type="dxa" w:w="1440"/>
          </w:tcPr>
          <w:p>
            <w:r>
              <w:t>Dec</w:t>
            </w:r>
          </w:p>
        </w:tc>
        <w:tc>
          <w:tcPr>
            <w:tcW w:type="dxa" w:w="1440"/>
          </w:tcPr>
          <w:p>
            <w:r>
              <w:t>69.8</w:t>
            </w:r>
          </w:p>
        </w:tc>
        <w:tc>
          <w:tcPr>
            <w:tcW w:type="dxa" w:w="1440"/>
          </w:tcPr>
          <w:p>
            <w:r>
              <w:t>42.9</w:t>
            </w:r>
          </w:p>
        </w:tc>
        <w:tc>
          <w:tcPr>
            <w:tcW w:type="dxa" w:w="1440"/>
          </w:tcPr>
          <w:p>
            <w:r>
              <w:t>38.5</w:t>
            </w:r>
          </w:p>
        </w:tc>
        <w:tc>
          <w:tcPr>
            <w:tcW w:type="dxa" w:w="1440"/>
          </w:tcPr>
          <w:p>
            <w:r>
              <w:t>19.4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20.6</w:t>
            </w:r>
          </w:p>
        </w:tc>
      </w:tr>
    </w:tbl>
    <w:p>
      <w:pPr>
        <w:pStyle w:val="Heading1"/>
      </w:pPr>
      <w:r>
        <w:t>2. Regional Sales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Region</w:t>
            </w:r>
          </w:p>
        </w:tc>
        <w:tc>
          <w:tcPr>
            <w:tcW w:type="dxa" w:w="1680"/>
          </w:tcPr>
          <w:p>
            <w:r>
              <w:t>FY2023 Revenue ($M)</w:t>
            </w:r>
          </w:p>
        </w:tc>
        <w:tc>
          <w:tcPr>
            <w:tcW w:type="dxa" w:w="1680"/>
          </w:tcPr>
          <w:p>
            <w:r>
              <w:t>FY2024 Revenue ($M)</w:t>
            </w:r>
          </w:p>
        </w:tc>
        <w:tc>
          <w:tcPr>
            <w:tcW w:type="dxa" w:w="1680"/>
          </w:tcPr>
          <w:p>
            <w:r>
              <w:t>Stores</w:t>
            </w:r>
          </w:p>
        </w:tc>
        <w:tc>
          <w:tcPr>
            <w:tcW w:type="dxa" w:w="1680"/>
          </w:tcPr>
          <w:p>
            <w:r>
              <w:t>Online Share %</w:t>
            </w:r>
          </w:p>
        </w:tc>
        <w:tc>
          <w:tcPr>
            <w:tcW w:type="dxa" w:w="1680"/>
          </w:tcPr>
          <w:p>
            <w:r>
              <w:t>Customer Count</w:t>
            </w:r>
          </w:p>
        </w:tc>
      </w:tr>
      <w:tr>
        <w:tc>
          <w:tcPr>
            <w:tcW w:type="dxa" w:w="1680"/>
          </w:tcPr>
          <w:p>
            <w:r>
              <w:t>North</w:t>
            </w:r>
          </w:p>
        </w:tc>
        <w:tc>
          <w:tcPr>
            <w:tcW w:type="dxa" w:w="1680"/>
          </w:tcPr>
          <w:p>
            <w:r>
              <w:t>132.4</w:t>
            </w:r>
          </w:p>
        </w:tc>
        <w:tc>
          <w:tcPr>
            <w:tcW w:type="dxa" w:w="1680"/>
          </w:tcPr>
          <w:p>
            <w:r>
              <w:t>151.7</w:t>
            </w:r>
          </w:p>
        </w:tc>
        <w:tc>
          <w:tcPr>
            <w:tcW w:type="dxa" w:w="1680"/>
          </w:tcPr>
          <w:p>
            <w:r>
              <w:t>82</w:t>
            </w:r>
          </w:p>
        </w:tc>
        <w:tc>
          <w:tcPr>
            <w:tcW w:type="dxa" w:w="1680"/>
          </w:tcPr>
          <w:p>
            <w:r>
              <w:t>28</w:t>
            </w:r>
          </w:p>
        </w:tc>
        <w:tc>
          <w:tcPr>
            <w:tcW w:type="dxa" w:w="1680"/>
          </w:tcPr>
          <w:p>
            <w:r>
              <w:t>1,245,000</w:t>
            </w:r>
          </w:p>
        </w:tc>
      </w:tr>
      <w:tr>
        <w:tc>
          <w:tcPr>
            <w:tcW w:type="dxa" w:w="1680"/>
          </w:tcPr>
          <w:p>
            <w:r>
              <w:t>South</w:t>
            </w:r>
          </w:p>
        </w:tc>
        <w:tc>
          <w:tcPr>
            <w:tcW w:type="dxa" w:w="1680"/>
          </w:tcPr>
          <w:p>
            <w:r>
              <w:t>118.9</w:t>
            </w:r>
          </w:p>
        </w:tc>
        <w:tc>
          <w:tcPr>
            <w:tcW w:type="dxa" w:w="1680"/>
          </w:tcPr>
          <w:p>
            <w:r>
              <w:t>130.8</w:t>
            </w:r>
          </w:p>
        </w:tc>
        <w:tc>
          <w:tcPr>
            <w:tcW w:type="dxa" w:w="1680"/>
          </w:tcPr>
          <w:p>
            <w:r>
              <w:t>76</w:t>
            </w:r>
          </w:p>
        </w:tc>
        <w:tc>
          <w:tcPr>
            <w:tcW w:type="dxa" w:w="1680"/>
          </w:tcPr>
          <w:p>
            <w:r>
              <w:t>22</w:t>
            </w:r>
          </w:p>
        </w:tc>
        <w:tc>
          <w:tcPr>
            <w:tcW w:type="dxa" w:w="1680"/>
          </w:tcPr>
          <w:p>
            <w:r>
              <w:t>1,040,000</w:t>
            </w:r>
          </w:p>
        </w:tc>
      </w:tr>
      <w:tr>
        <w:tc>
          <w:tcPr>
            <w:tcW w:type="dxa" w:w="1680"/>
          </w:tcPr>
          <w:p>
            <w:r>
              <w:t>East</w:t>
            </w:r>
          </w:p>
        </w:tc>
        <w:tc>
          <w:tcPr>
            <w:tcW w:type="dxa" w:w="1680"/>
          </w:tcPr>
          <w:p>
            <w:r>
              <w:t>96.3</w:t>
            </w:r>
          </w:p>
        </w:tc>
        <w:tc>
          <w:tcPr>
            <w:tcW w:type="dxa" w:w="1680"/>
          </w:tcPr>
          <w:p>
            <w:r>
              <w:t>112.5</w:t>
            </w:r>
          </w:p>
        </w:tc>
        <w:tc>
          <w:tcPr>
            <w:tcW w:type="dxa" w:w="1680"/>
          </w:tcPr>
          <w:p>
            <w:r>
              <w:t>61</w:t>
            </w:r>
          </w:p>
        </w:tc>
        <w:tc>
          <w:tcPr>
            <w:tcW w:type="dxa" w:w="1680"/>
          </w:tcPr>
          <w:p>
            <w:r>
              <w:t>31</w:t>
            </w:r>
          </w:p>
        </w:tc>
        <w:tc>
          <w:tcPr>
            <w:tcW w:type="dxa" w:w="1680"/>
          </w:tcPr>
          <w:p>
            <w:r>
              <w:t>875,000</w:t>
            </w:r>
          </w:p>
        </w:tc>
      </w:tr>
      <w:tr>
        <w:tc>
          <w:tcPr>
            <w:tcW w:type="dxa" w:w="1680"/>
          </w:tcPr>
          <w:p>
            <w:r>
              <w:t>West</w:t>
            </w:r>
          </w:p>
        </w:tc>
        <w:tc>
          <w:tcPr>
            <w:tcW w:type="dxa" w:w="1680"/>
          </w:tcPr>
          <w:p>
            <w:r>
              <w:t>143.8</w:t>
            </w:r>
          </w:p>
        </w:tc>
        <w:tc>
          <w:tcPr>
            <w:tcW w:type="dxa" w:w="1680"/>
          </w:tcPr>
          <w:p>
            <w:r>
              <w:t>158.4</w:t>
            </w:r>
          </w:p>
        </w:tc>
        <w:tc>
          <w:tcPr>
            <w:tcW w:type="dxa" w:w="1680"/>
          </w:tcPr>
          <w:p>
            <w:r>
              <w:t>89</w:t>
            </w:r>
          </w:p>
        </w:tc>
        <w:tc>
          <w:tcPr>
            <w:tcW w:type="dxa" w:w="1680"/>
          </w:tcPr>
          <w:p>
            <w:r>
              <w:t>26</w:t>
            </w:r>
          </w:p>
        </w:tc>
        <w:tc>
          <w:tcPr>
            <w:tcW w:type="dxa" w:w="1680"/>
          </w:tcPr>
          <w:p>
            <w:r>
              <w:t>1,390,000</w:t>
            </w:r>
          </w:p>
        </w:tc>
      </w:tr>
      <w:tr>
        <w:tc>
          <w:tcPr>
            <w:tcW w:type="dxa" w:w="1680"/>
          </w:tcPr>
          <w:p>
            <w:r>
              <w:t>Central</w:t>
            </w:r>
          </w:p>
        </w:tc>
        <w:tc>
          <w:tcPr>
            <w:tcW w:type="dxa" w:w="1680"/>
          </w:tcPr>
          <w:p>
            <w:r>
              <w:t>74.2</w:t>
            </w:r>
          </w:p>
        </w:tc>
        <w:tc>
          <w:tcPr>
            <w:tcW w:type="dxa" w:w="1680"/>
          </w:tcPr>
          <w:p>
            <w:r>
              <w:t>81.0</w:t>
            </w:r>
          </w:p>
        </w:tc>
        <w:tc>
          <w:tcPr>
            <w:tcW w:type="dxa" w:w="1680"/>
          </w:tcPr>
          <w:p>
            <w:r>
              <w:t>43</w:t>
            </w:r>
          </w:p>
        </w:tc>
        <w:tc>
          <w:tcPr>
            <w:tcW w:type="dxa" w:w="1680"/>
          </w:tcPr>
          <w:p>
            <w:r>
              <w:t>18</w:t>
            </w:r>
          </w:p>
        </w:tc>
        <w:tc>
          <w:tcPr>
            <w:tcW w:type="dxa" w:w="1680"/>
          </w:tcPr>
          <w:p>
            <w:r>
              <w:t>560,000</w:t>
            </w:r>
          </w:p>
        </w:tc>
      </w:tr>
    </w:tbl>
    <w:p>
      <w:pPr>
        <w:pStyle w:val="Heading1"/>
      </w:pPr>
      <w:r>
        <w:t>3. Product Category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Revenue ($M)</w:t>
            </w:r>
          </w:p>
        </w:tc>
        <w:tc>
          <w:tcPr>
            <w:tcW w:type="dxa" w:w="1440"/>
          </w:tcPr>
          <w:p>
            <w:r>
              <w:t>Units Sold</w:t>
            </w:r>
          </w:p>
        </w:tc>
        <w:tc>
          <w:tcPr>
            <w:tcW w:type="dxa" w:w="1440"/>
          </w:tcPr>
          <w:p>
            <w:r>
              <w:t>Avg Price ($)</w:t>
            </w:r>
          </w:p>
        </w:tc>
        <w:tc>
          <w:tcPr>
            <w:tcW w:type="dxa" w:w="1440"/>
          </w:tcPr>
          <w:p>
            <w:r>
              <w:t>Return Rate %</w:t>
            </w:r>
          </w:p>
        </w:tc>
        <w:tc>
          <w:tcPr>
            <w:tcW w:type="dxa" w:w="1440"/>
          </w:tcPr>
          <w:p>
            <w:r>
              <w:t>Inventory Days</w:t>
            </w:r>
          </w:p>
        </w:tc>
        <w:tc>
          <w:tcPr>
            <w:tcW w:type="dxa" w:w="1440"/>
          </w:tcPr>
          <w:p>
            <w:r>
              <w:t>Markdown %</w:t>
            </w:r>
          </w:p>
        </w:tc>
      </w:tr>
      <w:tr>
        <w:tc>
          <w:tcPr>
            <w:tcW w:type="dxa" w:w="1440"/>
          </w:tcPr>
          <w:p>
            <w:r>
              <w:t>Consumer Electronics</w:t>
            </w:r>
          </w:p>
        </w:tc>
        <w:tc>
          <w:tcPr>
            <w:tcW w:type="dxa" w:w="1440"/>
          </w:tcPr>
          <w:p>
            <w:r>
              <w:t>186.4</w:t>
            </w:r>
          </w:p>
        </w:tc>
        <w:tc>
          <w:tcPr>
            <w:tcW w:type="dxa" w:w="1440"/>
          </w:tcPr>
          <w:p>
            <w:r>
              <w:t>2,410,000</w:t>
            </w:r>
          </w:p>
        </w:tc>
        <w:tc>
          <w:tcPr>
            <w:tcW w:type="dxa" w:w="1440"/>
          </w:tcPr>
          <w:p>
            <w:r>
              <w:t>77.3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11.2</w:t>
            </w:r>
          </w:p>
        </w:tc>
      </w:tr>
      <w:tr>
        <w:tc>
          <w:tcPr>
            <w:tcW w:type="dxa" w:w="1440"/>
          </w:tcPr>
          <w:p>
            <w:r>
              <w:t>Home Appliances</w:t>
            </w:r>
          </w:p>
        </w:tc>
        <w:tc>
          <w:tcPr>
            <w:tcW w:type="dxa" w:w="1440"/>
          </w:tcPr>
          <w:p>
            <w:r>
              <w:t>121.6</w:t>
            </w:r>
          </w:p>
        </w:tc>
        <w:tc>
          <w:tcPr>
            <w:tcW w:type="dxa" w:w="1440"/>
          </w:tcPr>
          <w:p>
            <w:r>
              <w:t>910,000</w:t>
            </w:r>
          </w:p>
        </w:tc>
        <w:tc>
          <w:tcPr>
            <w:tcW w:type="dxa" w:w="1440"/>
          </w:tcPr>
          <w:p>
            <w:r>
              <w:t>133.6</w:t>
            </w:r>
          </w:p>
        </w:tc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8.5</w:t>
            </w:r>
          </w:p>
        </w:tc>
      </w:tr>
      <w:tr>
        <w:tc>
          <w:tcPr>
            <w:tcW w:type="dxa" w:w="1440"/>
          </w:tcPr>
          <w:p>
            <w:r>
              <w:t>Furniture</w:t>
            </w:r>
          </w:p>
        </w:tc>
        <w:tc>
          <w:tcPr>
            <w:tcW w:type="dxa" w:w="1440"/>
          </w:tcPr>
          <w:p>
            <w:r>
              <w:t>88.7</w:t>
            </w:r>
          </w:p>
        </w:tc>
        <w:tc>
          <w:tcPr>
            <w:tcW w:type="dxa" w:w="1440"/>
          </w:tcPr>
          <w:p>
            <w:r>
              <w:t>390,000</w:t>
            </w:r>
          </w:p>
        </w:tc>
        <w:tc>
          <w:tcPr>
            <w:tcW w:type="dxa" w:w="1440"/>
          </w:tcPr>
          <w:p>
            <w:r>
              <w:t>227.4</w:t>
            </w:r>
          </w:p>
        </w:tc>
        <w:tc>
          <w:tcPr>
            <w:tcW w:type="dxa" w:w="1440"/>
          </w:tcPr>
          <w:p>
            <w:r>
              <w:t>4.8</w:t>
            </w:r>
          </w:p>
        </w:tc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14.9</w:t>
            </w:r>
          </w:p>
        </w:tc>
      </w:tr>
      <w:tr>
        <w:tc>
          <w:tcPr>
            <w:tcW w:type="dxa" w:w="1440"/>
          </w:tcPr>
          <w:p>
            <w:r>
              <w:t>Apparel</w:t>
            </w:r>
          </w:p>
        </w:tc>
        <w:tc>
          <w:tcPr>
            <w:tcW w:type="dxa" w:w="1440"/>
          </w:tcPr>
          <w:p>
            <w:r>
              <w:t>76.2</w:t>
            </w:r>
          </w:p>
        </w:tc>
        <w:tc>
          <w:tcPr>
            <w:tcW w:type="dxa" w:w="1440"/>
          </w:tcPr>
          <w:p>
            <w:r>
              <w:t>3,650,000</w:t>
            </w:r>
          </w:p>
        </w:tc>
        <w:tc>
          <w:tcPr>
            <w:tcW w:type="dxa" w:w="1440"/>
          </w:tcPr>
          <w:p>
            <w:r>
              <w:t>20.9</w:t>
            </w:r>
          </w:p>
        </w:tc>
        <w:tc>
          <w:tcPr>
            <w:tcW w:type="dxa" w:w="1440"/>
          </w:tcPr>
          <w:p>
            <w:r>
              <w:t>12.4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18.1</w:t>
            </w:r>
          </w:p>
        </w:tc>
      </w:tr>
      <w:tr>
        <w:tc>
          <w:tcPr>
            <w:tcW w:type="dxa" w:w="1440"/>
          </w:tcPr>
          <w:p>
            <w:r>
              <w:t>Personal Care</w:t>
            </w:r>
          </w:p>
        </w:tc>
        <w:tc>
          <w:tcPr>
            <w:tcW w:type="dxa" w:w="1440"/>
          </w:tcPr>
          <w:p>
            <w:r>
              <w:t>44.1</w:t>
            </w:r>
          </w:p>
        </w:tc>
        <w:tc>
          <w:tcPr>
            <w:tcW w:type="dxa" w:w="1440"/>
          </w:tcPr>
          <w:p>
            <w:r>
              <w:t>5,200,000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2.6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5.4</w:t>
            </w:r>
          </w:p>
        </w:tc>
      </w:tr>
      <w:tr>
        <w:tc>
          <w:tcPr>
            <w:tcW w:type="dxa" w:w="1440"/>
          </w:tcPr>
          <w:p>
            <w:r>
              <w:t>Grocery Essentials</w:t>
            </w:r>
          </w:p>
        </w:tc>
        <w:tc>
          <w:tcPr>
            <w:tcW w:type="dxa" w:w="1440"/>
          </w:tcPr>
          <w:p>
            <w:r>
              <w:t>117.4</w:t>
            </w:r>
          </w:p>
        </w:tc>
        <w:tc>
          <w:tcPr>
            <w:tcW w:type="dxa" w:w="1440"/>
          </w:tcPr>
          <w:p>
            <w:r>
              <w:t>18,600,000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3.2</w:t>
            </w:r>
          </w:p>
        </w:tc>
      </w:tr>
    </w:tbl>
    <w:p>
      <w:pPr>
        <w:pStyle w:val="Heading1"/>
      </w:pPr>
      <w:r>
        <w:t>4. Operating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Metric</w:t>
            </w:r>
          </w:p>
        </w:tc>
        <w:tc>
          <w:tcPr>
            <w:tcW w:type="dxa" w:w="2016"/>
          </w:tcPr>
          <w:p>
            <w:r>
              <w:t>Q1</w:t>
            </w:r>
          </w:p>
        </w:tc>
        <w:tc>
          <w:tcPr>
            <w:tcW w:type="dxa" w:w="2016"/>
          </w:tcPr>
          <w:p>
            <w:r>
              <w:t>Q2</w:t>
            </w:r>
          </w:p>
        </w:tc>
        <w:tc>
          <w:tcPr>
            <w:tcW w:type="dxa" w:w="2016"/>
          </w:tcPr>
          <w:p>
            <w:r>
              <w:t>Q3</w:t>
            </w:r>
          </w:p>
        </w:tc>
        <w:tc>
          <w:tcPr>
            <w:tcW w:type="dxa" w:w="2016"/>
          </w:tcPr>
          <w:p>
            <w:r>
              <w:t>Q4</w:t>
            </w:r>
          </w:p>
        </w:tc>
      </w:tr>
      <w:tr>
        <w:tc>
          <w:tcPr>
            <w:tcW w:type="dxa" w:w="2016"/>
          </w:tcPr>
          <w:p>
            <w:r>
              <w:t>Footfall (M visits)</w:t>
            </w:r>
          </w:p>
        </w:tc>
        <w:tc>
          <w:tcPr>
            <w:tcW w:type="dxa" w:w="2016"/>
          </w:tcPr>
          <w:p>
            <w:r>
              <w:t>18.2</w:t>
            </w:r>
          </w:p>
        </w:tc>
        <w:tc>
          <w:tcPr>
            <w:tcW w:type="dxa" w:w="2016"/>
          </w:tcPr>
          <w:p>
            <w:r>
              <w:t>19.4</w:t>
            </w:r>
          </w:p>
        </w:tc>
        <w:tc>
          <w:tcPr>
            <w:tcW w:type="dxa" w:w="2016"/>
          </w:tcPr>
          <w:p>
            <w:r>
              <w:t>20.6</w:t>
            </w:r>
          </w:p>
        </w:tc>
        <w:tc>
          <w:tcPr>
            <w:tcW w:type="dxa" w:w="2016"/>
          </w:tcPr>
          <w:p>
            <w:r>
              <w:t>22.8</w:t>
            </w:r>
          </w:p>
        </w:tc>
      </w:tr>
      <w:tr>
        <w:tc>
          <w:tcPr>
            <w:tcW w:type="dxa" w:w="2016"/>
          </w:tcPr>
          <w:p>
            <w:r>
              <w:t>Online Sessions (M)</w:t>
            </w:r>
          </w:p>
        </w:tc>
        <w:tc>
          <w:tcPr>
            <w:tcW w:type="dxa" w:w="2016"/>
          </w:tcPr>
          <w:p>
            <w:r>
              <w:t>42.5</w:t>
            </w:r>
          </w:p>
        </w:tc>
        <w:tc>
          <w:tcPr>
            <w:tcW w:type="dxa" w:w="2016"/>
          </w:tcPr>
          <w:p>
            <w:r>
              <w:t>46.2</w:t>
            </w:r>
          </w:p>
        </w:tc>
        <w:tc>
          <w:tcPr>
            <w:tcW w:type="dxa" w:w="2016"/>
          </w:tcPr>
          <w:p>
            <w:r>
              <w:t>49.1</w:t>
            </w:r>
          </w:p>
        </w:tc>
        <w:tc>
          <w:tcPr>
            <w:tcW w:type="dxa" w:w="2016"/>
          </w:tcPr>
          <w:p>
            <w:r>
              <w:t>57.8</w:t>
            </w:r>
          </w:p>
        </w:tc>
      </w:tr>
      <w:tr>
        <w:tc>
          <w:tcPr>
            <w:tcW w:type="dxa" w:w="2016"/>
          </w:tcPr>
          <w:p>
            <w:r>
              <w:t>Conversion Rate %</w:t>
            </w:r>
          </w:p>
        </w:tc>
        <w:tc>
          <w:tcPr>
            <w:tcW w:type="dxa" w:w="2016"/>
          </w:tcPr>
          <w:p>
            <w:r>
              <w:t>3.8</w:t>
            </w:r>
          </w:p>
        </w:tc>
        <w:tc>
          <w:tcPr>
            <w:tcW w:type="dxa" w:w="2016"/>
          </w:tcPr>
          <w:p>
            <w:r>
              <w:t>3.9</w:t>
            </w:r>
          </w:p>
        </w:tc>
        <w:tc>
          <w:tcPr>
            <w:tcW w:type="dxa" w:w="2016"/>
          </w:tcPr>
          <w:p>
            <w:r>
              <w:t>3.7</w:t>
            </w:r>
          </w:p>
        </w:tc>
        <w:tc>
          <w:tcPr>
            <w:tcW w:type="dxa" w:w="2016"/>
          </w:tcPr>
          <w:p>
            <w:r>
              <w:t>3.5</w:t>
            </w:r>
          </w:p>
        </w:tc>
      </w:tr>
      <w:tr>
        <w:tc>
          <w:tcPr>
            <w:tcW w:type="dxa" w:w="2016"/>
          </w:tcPr>
          <w:p>
            <w:r>
              <w:t>Average Order Value ($)</w:t>
            </w:r>
          </w:p>
        </w:tc>
        <w:tc>
          <w:tcPr>
            <w:tcW w:type="dxa" w:w="2016"/>
          </w:tcPr>
          <w:p>
            <w:r>
              <w:t>44.8</w:t>
            </w:r>
          </w:p>
        </w:tc>
        <w:tc>
          <w:tcPr>
            <w:tcW w:type="dxa" w:w="2016"/>
          </w:tcPr>
          <w:p>
            <w:r>
              <w:t>45.5</w:t>
            </w:r>
          </w:p>
        </w:tc>
        <w:tc>
          <w:tcPr>
            <w:tcW w:type="dxa" w:w="2016"/>
          </w:tcPr>
          <w:p>
            <w:r>
              <w:t>46.1</w:t>
            </w:r>
          </w:p>
        </w:tc>
        <w:tc>
          <w:tcPr>
            <w:tcW w:type="dxa" w:w="2016"/>
          </w:tcPr>
          <w:p>
            <w:r>
              <w:t>47.3</w:t>
            </w:r>
          </w:p>
        </w:tc>
      </w:tr>
      <w:tr>
        <w:tc>
          <w:tcPr>
            <w:tcW w:type="dxa" w:w="2016"/>
          </w:tcPr>
          <w:p>
            <w:r>
              <w:t>Customer Churn %</w:t>
            </w:r>
          </w:p>
        </w:tc>
        <w:tc>
          <w:tcPr>
            <w:tcW w:type="dxa" w:w="2016"/>
          </w:tcPr>
          <w:p>
            <w:r>
              <w:t>5.8</w:t>
            </w:r>
          </w:p>
        </w:tc>
        <w:tc>
          <w:tcPr>
            <w:tcW w:type="dxa" w:w="2016"/>
          </w:tcPr>
          <w:p>
            <w:r>
              <w:t>6.1</w:t>
            </w:r>
          </w:p>
        </w:tc>
        <w:tc>
          <w:tcPr>
            <w:tcW w:type="dxa" w:w="2016"/>
          </w:tcPr>
          <w:p>
            <w:r>
              <w:t>6.6</w:t>
            </w:r>
          </w:p>
        </w:tc>
        <w:tc>
          <w:tcPr>
            <w:tcW w:type="dxa" w:w="2016"/>
          </w:tcPr>
          <w:p>
            <w:r>
              <w:t>7.2</w:t>
            </w:r>
          </w:p>
        </w:tc>
      </w:tr>
      <w:tr>
        <w:tc>
          <w:tcPr>
            <w:tcW w:type="dxa" w:w="2016"/>
          </w:tcPr>
          <w:p>
            <w:r>
              <w:t>Employee Attrition %</w:t>
            </w:r>
          </w:p>
        </w:tc>
        <w:tc>
          <w:tcPr>
            <w:tcW w:type="dxa" w:w="2016"/>
          </w:tcPr>
          <w:p>
            <w:r>
              <w:t>12.0</w:t>
            </w:r>
          </w:p>
        </w:tc>
        <w:tc>
          <w:tcPr>
            <w:tcW w:type="dxa" w:w="2016"/>
          </w:tcPr>
          <w:p>
            <w:r>
              <w:t>13.4</w:t>
            </w:r>
          </w:p>
        </w:tc>
        <w:tc>
          <w:tcPr>
            <w:tcW w:type="dxa" w:w="2016"/>
          </w:tcPr>
          <w:p>
            <w:r>
              <w:t>14.2</w:t>
            </w:r>
          </w:p>
        </w:tc>
        <w:tc>
          <w:tcPr>
            <w:tcW w:type="dxa" w:w="2016"/>
          </w:tcPr>
          <w:p>
            <w:r>
              <w:t>15.8</w:t>
            </w:r>
          </w:p>
        </w:tc>
      </w:tr>
      <w:tr>
        <w:tc>
          <w:tcPr>
            <w:tcW w:type="dxa" w:w="2016"/>
          </w:tcPr>
          <w:p>
            <w:r>
              <w:t>Same Store Sales Growth %</w:t>
            </w:r>
          </w:p>
        </w:tc>
        <w:tc>
          <w:tcPr>
            <w:tcW w:type="dxa" w:w="2016"/>
          </w:tcPr>
          <w:p>
            <w:r>
              <w:t>4.2</w:t>
            </w:r>
          </w:p>
        </w:tc>
        <w:tc>
          <w:tcPr>
            <w:tcW w:type="dxa" w:w="2016"/>
          </w:tcPr>
          <w:p>
            <w:r>
              <w:t>4.9</w:t>
            </w:r>
          </w:p>
        </w:tc>
        <w:tc>
          <w:tcPr>
            <w:tcW w:type="dxa" w:w="2016"/>
          </w:tcPr>
          <w:p>
            <w:r>
              <w:t>5.1</w:t>
            </w:r>
          </w:p>
        </w:tc>
        <w:tc>
          <w:tcPr>
            <w:tcW w:type="dxa" w:w="2016"/>
          </w:tcPr>
          <w:p>
            <w:r>
              <w:t>5.6</w:t>
            </w:r>
          </w:p>
        </w:tc>
      </w:tr>
      <w:tr>
        <w:tc>
          <w:tcPr>
            <w:tcW w:type="dxa" w:w="2016"/>
          </w:tcPr>
          <w:p>
            <w:r>
              <w:t>Inventory Shrinkage %</w:t>
            </w:r>
          </w:p>
        </w:tc>
        <w:tc>
          <w:tcPr>
            <w:tcW w:type="dxa" w:w="2016"/>
          </w:tcPr>
          <w:p>
            <w:r>
              <w:t>1.9</w:t>
            </w:r>
          </w:p>
        </w:tc>
        <w:tc>
          <w:tcPr>
            <w:tcW w:type="dxa" w:w="2016"/>
          </w:tcPr>
          <w:p>
            <w:r>
              <w:t>2.1</w:t>
            </w:r>
          </w:p>
        </w:tc>
        <w:tc>
          <w:tcPr>
            <w:tcW w:type="dxa" w:w="2016"/>
          </w:tcPr>
          <w:p>
            <w:r>
              <w:t>2.5</w:t>
            </w:r>
          </w:p>
        </w:tc>
        <w:tc>
          <w:tcPr>
            <w:tcW w:type="dxa" w:w="2016"/>
          </w:tcPr>
          <w:p>
            <w:r>
              <w:t>2.8</w:t>
            </w:r>
          </w:p>
        </w:tc>
      </w:tr>
    </w:tbl>
    <w:p>
      <w:pPr>
        <w:pStyle w:val="Heading1"/>
      </w:pPr>
      <w:r>
        <w:t>5. Management Notes from Finance Review</w:t>
      </w:r>
    </w:p>
    <w:p>
      <w:r>
        <w:t>Revenue continued to rise during the second half of the year, with December showing the highest monthly revenue.</w:t>
      </w:r>
    </w:p>
    <w:p>
      <w:r>
        <w:t>Gross margin percentage declined between August and December as product mix shifted toward lower-margin holiday categories.</w:t>
      </w:r>
    </w:p>
    <w:p>
      <w:r>
        <w:t>Operating expense increased in line with store labor hours, logistics costs, and digital marketing campaigns.</w:t>
      </w:r>
    </w:p>
    <w:p>
      <w:r>
        <w:t>Cash balance declined month over month as inventory purchases increased ahead of the holiday season.</w:t>
      </w:r>
    </w:p>
    <w:p>
      <w:r>
        <w:t>Online sales share was highest in the East region and lowest in the Central region.</w:t>
      </w:r>
    </w:p>
    <w:p>
      <w:r>
        <w:t>Furniture showed the highest inventory days and a comparatively high markdown percentage.</w:t>
      </w:r>
    </w:p>
    <w:p>
      <w:r>
        <w:t>Apparel recorded the highest return rate among major product categories.</w:t>
      </w:r>
    </w:p>
    <w:p>
      <w:r>
        <w:t>Customer churn increased every quarter during the year.</w:t>
      </w:r>
    </w:p>
    <w:p>
      <w:r>
        <w:t>Employee attrition increased in Q3 and Q4, especially in store operations and warehouse roles.</w:t>
      </w:r>
    </w:p>
    <w:p>
      <w:r>
        <w:t>Conversion rate declined in Q3 and Q4 despite higher traffic and online sessions.</w:t>
      </w:r>
    </w:p>
    <w:p>
      <w:pPr>
        <w:pStyle w:val="Heading1"/>
      </w:pPr>
      <w:r>
        <w:t>6. Selected Raw Transaction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Indicator</w:t>
            </w:r>
          </w:p>
        </w:tc>
        <w:tc>
          <w:tcPr>
            <w:tcW w:type="dxa" w:w="1680"/>
          </w:tcPr>
          <w:p>
            <w:r>
              <w:t>Jan-Mar</w:t>
            </w:r>
          </w:p>
        </w:tc>
        <w:tc>
          <w:tcPr>
            <w:tcW w:type="dxa" w:w="1680"/>
          </w:tcPr>
          <w:p>
            <w:r>
              <w:t>Apr-Jun</w:t>
            </w:r>
          </w:p>
        </w:tc>
        <w:tc>
          <w:tcPr>
            <w:tcW w:type="dxa" w:w="1680"/>
          </w:tcPr>
          <w:p>
            <w:r>
              <w:t>Jul-Sep</w:t>
            </w:r>
          </w:p>
        </w:tc>
        <w:tc>
          <w:tcPr>
            <w:tcW w:type="dxa" w:w="1680"/>
          </w:tcPr>
          <w:p>
            <w:r>
              <w:t>Oct-Dec</w:t>
            </w:r>
          </w:p>
        </w:tc>
        <w:tc>
          <w:tcPr>
            <w:tcW w:type="dxa" w:w="1680"/>
          </w:tcPr>
          <w:p>
            <w:r>
              <w:t>Full Year</w:t>
            </w:r>
          </w:p>
        </w:tc>
      </w:tr>
      <w:tr>
        <w:tc>
          <w:tcPr>
            <w:tcW w:type="dxa" w:w="1680"/>
          </w:tcPr>
          <w:p>
            <w:r>
              <w:t>Average delivery time (days)</w:t>
            </w:r>
          </w:p>
        </w:tc>
        <w:tc>
          <w:tcPr>
            <w:tcW w:type="dxa" w:w="1680"/>
          </w:tcPr>
          <w:p>
            <w:r>
              <w:t>3.2</w:t>
            </w:r>
          </w:p>
        </w:tc>
        <w:tc>
          <w:tcPr>
            <w:tcW w:type="dxa" w:w="1680"/>
          </w:tcPr>
          <w:p>
            <w:r>
              <w:t>3.5</w:t>
            </w:r>
          </w:p>
        </w:tc>
        <w:tc>
          <w:tcPr>
            <w:tcW w:type="dxa" w:w="1680"/>
          </w:tcPr>
          <w:p>
            <w:r>
              <w:t>3.8</w:t>
            </w:r>
          </w:p>
        </w:tc>
        <w:tc>
          <w:tcPr>
            <w:tcW w:type="dxa" w:w="1680"/>
          </w:tcPr>
          <w:p>
            <w:r>
              <w:t>4.4</w:t>
            </w:r>
          </w:p>
        </w:tc>
        <w:tc>
          <w:tcPr>
            <w:tcW w:type="dxa" w:w="1680"/>
          </w:tcPr>
          <w:p>
            <w:r>
              <w:t>3.7</w:t>
            </w:r>
          </w:p>
        </w:tc>
      </w:tr>
      <w:tr>
        <w:tc>
          <w:tcPr>
            <w:tcW w:type="dxa" w:w="1680"/>
          </w:tcPr>
          <w:p>
            <w:r>
              <w:t>Late shipment rate %</w:t>
            </w:r>
          </w:p>
        </w:tc>
        <w:tc>
          <w:tcPr>
            <w:tcW w:type="dxa" w:w="1680"/>
          </w:tcPr>
          <w:p>
            <w:r>
              <w:t>4.1</w:t>
            </w:r>
          </w:p>
        </w:tc>
        <w:tc>
          <w:tcPr>
            <w:tcW w:type="dxa" w:w="1680"/>
          </w:tcPr>
          <w:p>
            <w:r>
              <w:t>4.6</w:t>
            </w:r>
          </w:p>
        </w:tc>
        <w:tc>
          <w:tcPr>
            <w:tcW w:type="dxa" w:w="1680"/>
          </w:tcPr>
          <w:p>
            <w:r>
              <w:t>5.3</w:t>
            </w:r>
          </w:p>
        </w:tc>
        <w:tc>
          <w:tcPr>
            <w:tcW w:type="dxa" w:w="1680"/>
          </w:tcPr>
          <w:p>
            <w:r>
              <w:t>6.8</w:t>
            </w:r>
          </w:p>
        </w:tc>
        <w:tc>
          <w:tcPr>
            <w:tcW w:type="dxa" w:w="1680"/>
          </w:tcPr>
          <w:p>
            <w:r>
              <w:t>5.2</w:t>
            </w:r>
          </w:p>
        </w:tc>
      </w:tr>
      <w:tr>
        <w:tc>
          <w:tcPr>
            <w:tcW w:type="dxa" w:w="1680"/>
          </w:tcPr>
          <w:p>
            <w:r>
              <w:t>Support tickets</w:t>
            </w:r>
          </w:p>
        </w:tc>
        <w:tc>
          <w:tcPr>
            <w:tcW w:type="dxa" w:w="1680"/>
          </w:tcPr>
          <w:p>
            <w:r>
              <w:t>84,000</w:t>
            </w:r>
          </w:p>
        </w:tc>
        <w:tc>
          <w:tcPr>
            <w:tcW w:type="dxa" w:w="1680"/>
          </w:tcPr>
          <w:p>
            <w:r>
              <w:t>91,500</w:t>
            </w:r>
          </w:p>
        </w:tc>
        <w:tc>
          <w:tcPr>
            <w:tcW w:type="dxa" w:w="1680"/>
          </w:tcPr>
          <w:p>
            <w:r>
              <w:t>104,200</w:t>
            </w:r>
          </w:p>
        </w:tc>
        <w:tc>
          <w:tcPr>
            <w:tcW w:type="dxa" w:w="1680"/>
          </w:tcPr>
          <w:p>
            <w:r>
              <w:t>132,800</w:t>
            </w:r>
          </w:p>
        </w:tc>
        <w:tc>
          <w:tcPr>
            <w:tcW w:type="dxa" w:w="1680"/>
          </w:tcPr>
          <w:p>
            <w:r>
              <w:t>412,500</w:t>
            </w:r>
          </w:p>
        </w:tc>
      </w:tr>
      <w:tr>
        <w:tc>
          <w:tcPr>
            <w:tcW w:type="dxa" w:w="1680"/>
          </w:tcPr>
          <w:p>
            <w:r>
              <w:t>Refund value ($M)</w:t>
            </w:r>
          </w:p>
        </w:tc>
        <w:tc>
          <w:tcPr>
            <w:tcW w:type="dxa" w:w="1680"/>
          </w:tcPr>
          <w:p>
            <w:r>
              <w:t>8.6</w:t>
            </w:r>
          </w:p>
        </w:tc>
        <w:tc>
          <w:tcPr>
            <w:tcW w:type="dxa" w:w="1680"/>
          </w:tcPr>
          <w:p>
            <w:r>
              <w:t>9.1</w:t>
            </w:r>
          </w:p>
        </w:tc>
        <w:tc>
          <w:tcPr>
            <w:tcW w:type="dxa" w:w="1680"/>
          </w:tcPr>
          <w:p>
            <w:r>
              <w:t>10.5</w:t>
            </w:r>
          </w:p>
        </w:tc>
        <w:tc>
          <w:tcPr>
            <w:tcW w:type="dxa" w:w="1680"/>
          </w:tcPr>
          <w:p>
            <w:r>
              <w:t>14.7</w:t>
            </w:r>
          </w:p>
        </w:tc>
        <w:tc>
          <w:tcPr>
            <w:tcW w:type="dxa" w:w="1680"/>
          </w:tcPr>
          <w:p>
            <w:r>
              <w:t>42.9</w:t>
            </w:r>
          </w:p>
        </w:tc>
      </w:tr>
      <w:tr>
        <w:tc>
          <w:tcPr>
            <w:tcW w:type="dxa" w:w="1680"/>
          </w:tcPr>
          <w:p>
            <w:r>
              <w:t>Digital ad spend ($M)</w:t>
            </w:r>
          </w:p>
        </w:tc>
        <w:tc>
          <w:tcPr>
            <w:tcW w:type="dxa" w:w="1680"/>
          </w:tcPr>
          <w:p>
            <w:r>
              <w:t>9.8</w:t>
            </w:r>
          </w:p>
        </w:tc>
        <w:tc>
          <w:tcPr>
            <w:tcW w:type="dxa" w:w="1680"/>
          </w:tcPr>
          <w:p>
            <w:r>
              <w:t>11.2</w:t>
            </w:r>
          </w:p>
        </w:tc>
        <w:tc>
          <w:tcPr>
            <w:tcW w:type="dxa" w:w="1680"/>
          </w:tcPr>
          <w:p>
            <w:r>
              <w:t>13.5</w:t>
            </w:r>
          </w:p>
        </w:tc>
        <w:tc>
          <w:tcPr>
            <w:tcW w:type="dxa" w:w="1680"/>
          </w:tcPr>
          <w:p>
            <w:r>
              <w:t>18.4</w:t>
            </w:r>
          </w:p>
        </w:tc>
        <w:tc>
          <w:tcPr>
            <w:tcW w:type="dxa" w:w="1680"/>
          </w:tcPr>
          <w:p>
            <w:r>
              <w:t>52.9</w:t>
            </w:r>
          </w:p>
        </w:tc>
      </w:tr>
      <w:tr>
        <w:tc>
          <w:tcPr>
            <w:tcW w:type="dxa" w:w="1680"/>
          </w:tcPr>
          <w:p>
            <w:r>
              <w:t>Warehouse overtime hours</w:t>
            </w:r>
          </w:p>
        </w:tc>
        <w:tc>
          <w:tcPr>
            <w:tcW w:type="dxa" w:w="1680"/>
          </w:tcPr>
          <w:p>
            <w:r>
              <w:t>44,000</w:t>
            </w:r>
          </w:p>
        </w:tc>
        <w:tc>
          <w:tcPr>
            <w:tcW w:type="dxa" w:w="1680"/>
          </w:tcPr>
          <w:p>
            <w:r>
              <w:t>51,000</w:t>
            </w:r>
          </w:p>
        </w:tc>
        <w:tc>
          <w:tcPr>
            <w:tcW w:type="dxa" w:w="1680"/>
          </w:tcPr>
          <w:p>
            <w:r>
              <w:t>67,500</w:t>
            </w:r>
          </w:p>
        </w:tc>
        <w:tc>
          <w:tcPr>
            <w:tcW w:type="dxa" w:w="1680"/>
          </w:tcPr>
          <w:p>
            <w:r>
              <w:t>92,000</w:t>
            </w:r>
          </w:p>
        </w:tc>
        <w:tc>
          <w:tcPr>
            <w:tcW w:type="dxa" w:w="1680"/>
          </w:tcPr>
          <w:p>
            <w:r>
              <w:t>254,500</w:t>
            </w:r>
          </w:p>
        </w:tc>
      </w:tr>
    </w:tbl>
    <w:p>
      <w:pPr>
        <w:pStyle w:val="Heading1"/>
      </w:pPr>
      <w:r>
        <w:t>7. Unstructured Comments Captured During Review</w:t>
      </w:r>
    </w:p>
    <w:p>
      <w:r>
        <w:t>Store managers reported that demand forecasting accuracy was weaker for seasonal furniture SKUs.</w:t>
      </w:r>
    </w:p>
    <w:p>
      <w:r>
        <w:t>The digital team noted that paid acquisition costs were higher in November and December.</w:t>
      </w:r>
    </w:p>
    <w:p>
      <w:r>
        <w:t>Operations noted that warehouse capacity utilization exceeded 92% during the final six weeks of the year.</w:t>
      </w:r>
    </w:p>
    <w:p>
      <w:r>
        <w:t>The finance team observed that revenue growth was not fully translating into margin expansion.</w:t>
      </w:r>
    </w:p>
    <w:p>
      <w:r>
        <w:t>Procurement noted longer lead times from two appliance suppliers during Q4.</w:t>
      </w:r>
    </w:p>
    <w:p>
      <w:r>
        <w:t>Customer service teams reported an increase in delivery-related complaints after September.</w:t>
      </w:r>
    </w:p>
    <w:p>
      <w:r>
        <w:t>The HR team observed higher voluntary attrition among part-time employees in urban stores.</w:t>
      </w:r>
    </w:p>
    <w:p>
      <w:r>
        <w:t>Regional leadership noted that the East region had strong online growth but uneven store-level execution.</w:t>
      </w:r>
    </w:p>
    <w:p>
      <w:pPr>
        <w:pStyle w:val="Heading1"/>
      </w:pPr>
      <w:r>
        <w:t>8. Data Quality Notes</w:t>
      </w:r>
    </w:p>
    <w:p>
      <w:r>
        <w:t>Some store-level submissions arrived after the monthly close. Regional revenue totals are reconciled, but several operating KPIs were manually adjusted after duplicate records were removed. The data pack is intended as a raw input for analysis and has not been converted into an executive recommendation memo.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