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Financial Performance Review</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2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3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4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5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6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7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8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9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10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11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12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13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14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15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16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17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18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19 showed moderate variations across customer segments and operating regions.</w:t>
      </w:r>
    </w:p>
    <w:p>
      <w:r>
        <w:t>Quarterly revenue reached USD 92.4 million with Enterprise Business contributing USD 51.8 million. EBITDA margin improved to 24.8 percent and net profit margin remained near 16 percent. Technology investments totaled USD 11 million and salary expenses represented USD 24 million. Cash reserves stood at USD 38.2 million while supply chain costs increased by 7 percent. Monthly review cycle 20 showed moderate variations across customer segments and operating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