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Operations Report</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2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3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4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5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6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7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8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9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10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11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12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13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14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15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16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17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18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19 showed moderate variations across customer segments and operating regions.</w:t>
      </w:r>
    </w:p>
    <w:p>
      <w:r>
        <w:t>During April to June 2025, total revenue reached USD 18.6 million compared with USD 16.5 million in the previous quarter. The East region contributed USD 5.2 million and the North region generated USD 6.8 million. Product Alpha generated USD 7.8 million and average order value increased to USD 1480. Customer retention reached 88 percent and 12500 new customers were acquired. Online channels represented 48 percent of revenue. Return rates increased to 3.7 percent because of packaging issues and delivery lead time increased from 3.8 days to 5.2 days. Monthly review cycle 20 showed moderate variations across customer segments and operating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