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Telecom Network Activity</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2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3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4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5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6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7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8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9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10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11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12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13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14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15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16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17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18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19 showed moderate variations across customer segments and operating regions.</w:t>
      </w:r>
    </w:p>
    <w:p>
      <w:r>
        <w:t>Network availability remained at 99.93 percent. Subscribers reached 18.4 million and peak throughput reached 8.4 Tbps. Critical incidents numbered 28 and mean repair time improved to 36 minutes. Packet loss averaged 0.18 percent and dropped call rates stayed below 0.72 percent. Monthly review cycle 20 showed moderate variations across customer segments and operating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