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b/>
          <w:color w:val="1F4E79"/>
          <w:sz w:val="22"/>
        </w:rPr>
        <w:t>PAPER VISUAL GUIDE</w:t>
      </w:r>
    </w:p>
    <w:p>
      <w:pPr>
        <w:pStyle w:val="Title"/>
        <w:jc w:val="center"/>
      </w:pPr>
      <w:r>
        <w:t>π0.5 论文可视化精读</w:t>
      </w:r>
    </w:p>
    <w:p>
      <w:pPr>
        <w:jc w:val="center"/>
      </w:pPr>
      <w:r>
        <w:rPr>
          <w:color w:val="5A6773"/>
          <w:sz w:val="30"/>
        </w:rPr>
        <w:t>从异构共训练到层次式连续动作生成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05-inferenc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773"/>
          <w:sz w:val="18"/>
        </w:rPr>
        <w:t>核心主线：语义子任务先行，连续动作块随后生成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vAlign w:val="center"/>
            <w:shd w:fill="EAF2F8"/>
          </w:tcPr>
          <w:p>
            <w:pPr>
              <w:spacing w:before="100" w:after="100"/>
            </w:pPr>
            <w:r>
              <w:rPr>
                <w:b/>
                <w:color w:val="1F4E79"/>
              </w:rPr>
              <w:t xml:space="preserve">一句话结论  </w:t>
            </w:r>
            <w:r>
              <w:t>π0.5 的关键不是单个新层，而是“FAST 离散预训练 + 异构数据共训练 + Flow Action Expert 后训练 + 高低层语义分解”的完整训练配方。</w:t>
            </w:r>
          </w:p>
        </w:tc>
      </w:tr>
    </w:tbl>
    <w:p>
      <w:pPr>
        <w:spacing w:after="0"/>
      </w:pPr>
    </w:p>
    <w:p>
      <w:pPr>
        <w:jc w:val="center"/>
      </w:pPr>
      <w:r>
        <w:t>适合快速复习、论文汇报与 OpenPI 代码对照。依据论文 v1（2025-04-22）整理。</w:t>
      </w:r>
    </w:p>
    <w:p>
      <w:r>
        <w:br w:type="page"/>
      </w:r>
    </w:p>
    <w:p>
      <w:pPr>
        <w:pStyle w:val="Heading1"/>
      </w:pPr>
      <w:r>
        <w:t>1. 先看懂整张模型图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07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05-figure3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773"/>
          <w:sz w:val="18"/>
        </w:rPr>
        <w:t>论文图 3：预训练、后训练与推理的总体关系（原论文第 4 页）</w:t>
      </w:r>
    </w:p>
    <w:p>
      <w:r>
        <w:t>图的左半边是“把不同监督统一成 token 学习”，右半边是“把已学到的 VLA 接上连续动作专家”。预训练使用 FAST 将动作 chunk 压缩为离散 token，因此动作、语言、边界框和问答都可以使用 next-token prediction。后训练再增加 300M Action Expert，使推理时无需逐个生成 FAST token，而是用 10 步 Flow Matching 得到连续动作块。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vAlign w:val="center"/>
            <w:shd w:fill="FFF2CC"/>
          </w:tcPr>
          <w:p>
            <w:pPr>
              <w:spacing w:before="100" w:after="100"/>
            </w:pPr>
            <w:r>
              <w:rPr>
                <w:b/>
                <w:color w:val="1F4E79"/>
              </w:rPr>
              <w:t xml:space="preserve">不要误解  </w:t>
            </w:r>
            <w:r>
              <w:t>这里的 Action Expert 更接近按模态固定分开的 Transformer 参数组，不是带 router、由 token 动态选择专家的传统稀疏 MoE。</w:t>
            </w:r>
          </w:p>
        </w:tc>
      </w:tr>
    </w:tbl>
    <w:p>
      <w:pPr>
        <w:spacing w:after="0"/>
      </w:pPr>
    </w:p>
    <w:p>
      <w:pPr>
        <w:pStyle w:val="Heading1"/>
      </w:pPr>
      <w:r>
        <w:t>2. 完整数据流与概率分解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05-inferenc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773"/>
          <w:sz w:val="18"/>
        </w:rPr>
        <w:t>一次推理的数据流：观测 → 子任务 → 条件动作流</w:t>
      </w:r>
    </w:p>
    <w:p>
      <w:r>
        <w:t>模型输入观测 o_t=[I_t^1,...,I_t^n,q_t] 和总体任务 ℓ，先生成语义子任务 ℓ̂，再生成动作块 a_{t:t+H}。论文使用以下分解：</w:t>
      </w:r>
    </w:p>
    <w:p>
      <w:pPr>
        <w:jc w:val="center"/>
      </w:pPr>
      <w:r>
        <w:rPr>
          <w:rFonts w:ascii="Cambria Math" w:hAnsi="Cambria Math"/>
          <w:b/>
          <w:sz w:val="26"/>
        </w:rPr>
        <w:t>π(a, ℓ̂ | o, ℓ) = π(a | o, ℓ̂) · π(ℓ̂ | o, ℓ)</w:t>
      </w:r>
    </w:p>
    <w:p>
      <w:pPr>
        <w:pStyle w:val="ListBullet"/>
        <w:ind w:left="403" w:hanging="230"/>
      </w:pPr>
      <w:r>
        <w:t>高层策略：π(ℓ̂ | o, ℓ)，回答“下一步该做什么”。</w:t>
      </w:r>
    </w:p>
    <w:p>
      <w:pPr>
        <w:pStyle w:val="ListBullet"/>
        <w:ind w:left="403" w:hanging="230"/>
      </w:pPr>
      <w:r>
        <w:t>低层策略：π(a | o, ℓ̂)，回答“这个子任务具体怎样执行”。</w:t>
      </w:r>
    </w:p>
    <w:p>
      <w:pPr>
        <w:pStyle w:val="ListBullet"/>
        <w:ind w:left="403" w:hanging="230"/>
      </w:pPr>
      <w:r>
        <w:t>建模假设中低层动作不再直接依赖总任务 ℓ，而依赖子任务 ℓ̂。高层输出因此是可解释的条件瓶颈。</w:t>
      </w:r>
    </w:p>
    <w:p>
      <w:pPr>
        <w:pStyle w:val="Heading1"/>
      </w:pPr>
      <w:r>
        <w:t>3. 两阶段训练为什么必要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668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05-train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6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773"/>
          <w:sz w:val="18"/>
        </w:rPr>
        <w:t>两阶段训练：先吸收异构知识，再获得连续动作实时生成能力</w:t>
      </w:r>
    </w:p>
    <w:p>
      <w:pPr>
        <w:pStyle w:val="Heading2"/>
      </w:pPr>
      <w:r>
        <w:t>阶段一（280k steps）</w:t>
      </w:r>
    </w:p>
    <w:p>
      <w:r>
        <w:t>MM、ME、CE、HL、WD 数据被统一为自回归 next-token prediction；动作通过 FAST 离散化。此时 α=0，连续 Action Expert 尚未训练。论文强调第一阶段 97.6% 的样本并非目标移动机器人家务数据。</w:t>
      </w:r>
    </w:p>
    <w:p>
      <w:pPr>
        <w:pStyle w:val="Heading2"/>
      </w:pPr>
      <w:r>
        <w:t>阶段二（80k steps）</w:t>
      </w:r>
    </w:p>
    <w:p>
      <w:r>
        <w:t>使用 MM、ME、HL、WD 和 verbal instruction（VI），移除 CE，并过滤失败或过长 episode。Action Expert 随机初始化，联合优化 token 交叉熵和连续 Flow Matching 损失，α=10。</w:t>
      </w:r>
    </w:p>
    <w:p>
      <w:pPr>
        <w:pStyle w:val="Heading1"/>
      </w:pPr>
      <w:r>
        <w:t>4. Loss 与梯度链路</w:t>
      </w:r>
    </w:p>
    <w:p>
      <w:pPr>
        <w:jc w:val="center"/>
      </w:pPr>
      <w:r>
        <w:rPr>
          <w:rFonts w:ascii="Cambria Math" w:hAnsi="Cambria Math"/>
          <w:b/>
          <w:sz w:val="24"/>
        </w:rPr>
        <w:t>L = L_CE(text, box, subtask, FAST) + α · ||(ω − a) − fᵃ_θ(a^{τ,ω}, o, ℓ)||²</w:t>
      </w:r>
    </w:p>
    <w:p>
      <w:pPr>
        <w:pStyle w:val="ListBullet"/>
        <w:ind w:left="403" w:hanging="230"/>
      </w:pPr>
      <w:r>
        <w:t>L_CE 更新 VLM 的文本/视觉/FAST 预测相关权重，维持语义能力和离散动作能力。</w:t>
      </w:r>
    </w:p>
    <w:p>
      <w:pPr>
        <w:pStyle w:val="ListBullet"/>
        <w:ind w:left="403" w:hanging="230"/>
      </w:pPr>
      <w:r>
        <w:t>Flow MSE 更新 Action Expert，并通过共享 self-attention 条件依赖 VLM prefix。</w:t>
      </w:r>
    </w:p>
    <w:p>
      <w:pPr>
        <w:pStyle w:val="ListBullet"/>
        <w:ind w:left="403" w:hanging="230"/>
      </w:pPr>
      <w:r>
        <w:t>论文明确 M+H≤N：并非所有输入位置都有直接监督。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vAlign w:val="center"/>
            <w:shd w:fill="FCE8E6"/>
          </w:tcPr>
          <w:p>
            <w:pPr>
              <w:spacing w:before="100" w:after="100"/>
            </w:pPr>
            <w:r>
              <w:rPr>
                <w:b/>
                <w:color w:val="1F4E79"/>
              </w:rPr>
              <w:t xml:space="preserve">公式审计  </w:t>
            </w:r>
            <w:r>
              <w:t>论文给出的路径 a^{τ,ω}=τa+(1−τ)ω 的导数是 a−ω，但正文与损失写的 target 是 ω−a。符号表面相反，必须结合 ODE 积分方向或代码约定核实。</w:t>
            </w:r>
          </w:p>
        </w:tc>
      </w:tr>
    </w:tbl>
    <w:p>
      <w:pPr>
        <w:spacing w:after="0"/>
      </w:pPr>
    </w:p>
    <w:p>
      <w:pPr>
        <w:pStyle w:val="Heading1"/>
      </w:pPr>
      <w:r>
        <w:t>5. Attention Mask：为什么不会动作泄漏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4688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05-figure18-m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8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773"/>
          <w:sz w:val="18"/>
        </w:rPr>
        <w:t>论文图 18：Prefix、FAST 动作与 Action Expert 的可见性（附录 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Query / Key</w:t>
            </w:r>
          </w:p>
        </w:tc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Prefix</w:t>
            </w:r>
          </w:p>
        </w:tc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FAST</w:t>
            </w:r>
          </w:p>
        </w:tc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Expert</w:t>
            </w:r>
          </w:p>
        </w:tc>
      </w:tr>
      <w:tr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Prefix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双向可见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不可见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不可见</w:t>
            </w:r>
          </w:p>
        </w:tc>
      </w:tr>
      <w:tr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FAST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可见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仅过去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不可见</w:t>
            </w:r>
          </w:p>
        </w:tc>
      </w:tr>
      <w:tr>
        <w:tc>
          <w:tcPr>
            <w:tcW w:type="dxa" w:w="2469"/>
            <w:vAlign w:val="center"/>
            <w:shd w:fill="D9EAF7"/>
          </w:tcPr>
          <w:p>
            <w:pPr>
              <w:jc w:val="center"/>
            </w:pPr>
            <w:r>
              <w:t>Expert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可见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不可见</w:t>
            </w:r>
          </w:p>
        </w:tc>
        <w:tc>
          <w:tcPr>
            <w:tcW w:type="dxa" w:w="2469"/>
            <w:vAlign w:val="center"/>
          </w:tcPr>
          <w:p>
            <w:pPr>
              <w:jc w:val="center"/>
            </w:pPr>
            <w:r>
              <w:t>块内互看</w:t>
            </w:r>
          </w:p>
        </w:tc>
      </w:tr>
    </w:tbl>
    <w:p>
      <w:r>
        <w:t>FAST 与连续动作两条分支共享图像、prompt 和 state 前缀，但彼此不可见。这避免连续 Action Expert 在训练中读取 FAST 真值动作。信息整体从 VLM 单向流向 Action Expert；VLM token 不读取 Expert token。</w:t>
      </w:r>
    </w:p>
    <w:p>
      <w:pPr>
        <w:pStyle w:val="Heading1"/>
      </w:pPr>
      <w:r>
        <w:t>6. 数据配方：每种数据贡献什么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732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05-figure4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3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773"/>
          <w:sz w:val="18"/>
        </w:rPr>
        <w:t>论文图 4：预训练与后训练的数据类型（原论文第 6 页）</w:t>
      </w:r>
    </w:p>
    <w:p>
      <w:r>
        <w:rPr>
          <w:b/>
        </w:rPr>
        <w:t>MM：</w:t>
      </w:r>
      <w:r>
        <w:t>约 400 小时、约 100 个家庭环境的目标移动机器人数据。</w:t>
      </w:r>
    </w:p>
    <w:p>
      <w:r>
        <w:rPr>
          <w:b/>
        </w:rPr>
        <w:t>ME：</w:t>
      </w:r>
      <w:r>
        <w:t>多家庭环境的静态机器人数据，提供场景多样性和跨本体技能迁移。</w:t>
      </w:r>
    </w:p>
    <w:p>
      <w:r>
        <w:rPr>
          <w:b/>
        </w:rPr>
        <w:t>CE：</w:t>
      </w:r>
      <w:r>
        <w:t>实验室跨本体、多任务数据，包含 OXE；只用于预训练。</w:t>
      </w:r>
    </w:p>
    <w:p>
      <w:r>
        <w:rPr>
          <w:b/>
        </w:rPr>
        <w:t>HL：</w:t>
      </w:r>
      <w:r>
        <w:t>人工语义子任务与相关 bounding boxes，训练高层规划并改善低层表征。</w:t>
      </w:r>
    </w:p>
    <w:p>
      <w:r>
        <w:rPr>
          <w:b/>
        </w:rPr>
        <w:t>WD：</w:t>
      </w:r>
      <w:r>
        <w:t>caption、VQA、object localization，主要改善 OOD 物体语义与语言跟随。</w:t>
      </w:r>
    </w:p>
    <w:p>
      <w:r>
        <w:rPr>
          <w:b/>
        </w:rPr>
        <w:t>VI：</w:t>
      </w:r>
      <w:r>
        <w:t>人类用语言逐步“遥操作”已训练低层策略，示范高层子任务选择。</w:t>
      </w:r>
    </w:p>
    <w:p>
      <w:pPr>
        <w:pStyle w:val="Heading1"/>
      </w:pPr>
      <w:r>
        <w:t>7. 一次完整推理</w:t>
      </w:r>
    </w:p>
    <w:p>
      <w:r>
        <w:t>1. 读取四路图像、本体状态和总任务，例如 “clean the bedroom”。</w:t>
      </w:r>
    </w:p>
    <w:p>
      <w:r>
        <w:t>2. 高层使用全部四个相机，自回归输出下一子任务，例如 “pick up the pillow”。</w:t>
      </w:r>
    </w:p>
    <w:p>
      <w:r>
        <w:t>3. 低层使用前视与双腕相机，将子任务作为条件。</w:t>
      </w:r>
    </w:p>
    <w:p>
      <w:r>
        <w:t>4. 从高斯噪声动作块开始，Action Expert 进行 10 次 Flow Matching 积分。</w:t>
      </w:r>
    </w:p>
    <w:p>
      <w:r>
        <w:t>5. 输出长度 50 的连续动作 chunk；控制目标以 50 Hz 下发，由简单 PD 跟踪。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vAlign w:val="center"/>
            <w:shd w:fill="FFF2CC"/>
          </w:tcPr>
          <w:p>
            <w:pPr>
              <w:spacing w:before="100" w:after="100"/>
            </w:pPr>
            <w:r>
              <w:rPr>
                <w:b/>
                <w:color w:val="1F4E79"/>
              </w:rPr>
              <w:t xml:space="preserve">论文未说明  </w:t>
            </w:r>
            <w:r>
              <w:t>chunk 每轮实际执行多少步、何时重规划、是否重叠，以及高层子任务刷新频率。不能仅凭 H=50 推断整块必然完整开环执行。</w:t>
            </w:r>
          </w:p>
        </w:tc>
      </w:tr>
    </w:tbl>
    <w:p>
      <w:pPr>
        <w:spacing w:after="0"/>
      </w:pPr>
    </w:p>
    <w:p>
      <w:pPr>
        <w:pStyle w:val="Heading1"/>
      </w:pPr>
      <w:r>
        <w:t>8. 实验结论与正确解读</w:t>
      </w:r>
    </w:p>
    <w:p>
      <w:pPr>
        <w:pStyle w:val="ListBullet"/>
        <w:ind w:left="403" w:hanging="230"/>
      </w:pPr>
      <w:r>
        <w:t>训练环境从 3 增加到 104 个时，未见环境性能持续提高；完整配方接近见过测试家庭的对照模型。</w:t>
      </w:r>
    </w:p>
    <w:p>
      <w:pPr>
        <w:pStyle w:val="ListBullet"/>
        <w:ind w:left="403" w:hanging="230"/>
      </w:pPr>
      <w:r>
        <w:t>去掉 ME 或 CE 均明显下降，同时去掉两者更严重，支持跨本体迁移的重要性。</w:t>
      </w:r>
    </w:p>
    <w:p>
      <w:pPr>
        <w:pStyle w:val="ListBullet"/>
        <w:ind w:left="403" w:hanging="230"/>
      </w:pPr>
      <w:r>
        <w:t>WD 对平均家务进度未必显著，但对 OOD 物体语言跟随和高层策略很重要。</w:t>
      </w:r>
    </w:p>
    <w:p>
      <w:pPr>
        <w:pStyle w:val="ListBullet"/>
        <w:ind w:left="403" w:hanging="230"/>
      </w:pPr>
      <w:r>
        <w:t>完整 π0.5 优于 π0 与 π0-FAST+Flow，说明收益不只是 FAST 或 Flow，而是完整共训练配方。</w:t>
      </w:r>
    </w:p>
    <w:p>
      <w:pPr>
        <w:pStyle w:val="ListBullet"/>
        <w:ind w:left="403" w:hanging="230"/>
      </w:pPr>
      <w:r>
        <w:t>implicit HL 在推理时不显式生成子任务，但训练时保留 HL 数据，表现第二好：高层监督的表征学习收益大于单纯显式规划收益。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vAlign w:val="center"/>
            <w:shd w:fill="EAF2F8"/>
          </w:tcPr>
          <w:p>
            <w:pPr>
              <w:spacing w:before="100" w:after="100"/>
            </w:pPr>
            <w:r>
              <w:rPr>
                <w:b/>
                <w:color w:val="1F4E79"/>
              </w:rPr>
              <w:t xml:space="preserve">谨慎解读  </w:t>
            </w:r>
            <w:r>
              <w:t>π0.5 优于 human HL 并不直接证明模型规划超过人类。人工子任务标签的形式、切换时机以及与低层策略训练分布的匹配都会影响该基线。</w:t>
            </w:r>
          </w:p>
        </w:tc>
      </w:tr>
    </w:tbl>
    <w:p>
      <w:pPr>
        <w:spacing w:after="0"/>
      </w:pPr>
    </w:p>
    <w:p>
      <w:pPr>
        <w:pStyle w:val="Heading1"/>
      </w:pPr>
      <w:r>
        <w:t>9. 与公开 OpenPI 的边界</w:t>
      </w:r>
    </w:p>
    <w:p>
      <w:r>
        <w:t>公开 OpenPI 的常规 π0.5 微调不应被视为论文系统的完整复现。论文系统还依赖两阶段异构共训练、HL/WD/VI 数据、显式高层子任务生成以及在线高低层调度。只在自己的 LeRobot 数据上做连续动作 loss 微调，本质上是基于 π0.5 权重的低层策略适配。</w:t>
      </w:r>
    </w:p>
    <w:p>
      <w:pPr>
        <w:pStyle w:val="Heading1"/>
      </w:pPr>
      <w:r>
        <w:t>10. 五条记忆卡</w:t>
      </w:r>
    </w:p>
    <w:p>
      <w:pPr>
        <w:pStyle w:val="ListBullet"/>
        <w:ind w:left="403" w:hanging="230"/>
      </w:pPr>
      <w:r>
        <w:t>核心是训练配方，不是单个网络层。</w:t>
      </w:r>
    </w:p>
    <w:p>
      <w:pPr>
        <w:pStyle w:val="ListBullet"/>
        <w:ind w:left="403" w:hanging="230"/>
      </w:pPr>
      <w:r>
        <w:t>FAST 负责高效吸收异构数据，Flow Matching 负责连续动作快速推理。</w:t>
      </w:r>
    </w:p>
    <w:p>
      <w:pPr>
        <w:pStyle w:val="ListBullet"/>
        <w:ind w:left="403" w:hanging="230"/>
      </w:pPr>
      <w:r>
        <w:t>高层与低层由同一 VLA 表示，通过语义子任务做概率分解。</w:t>
      </w:r>
    </w:p>
    <w:p>
      <w:pPr>
        <w:pStyle w:val="ListBullet"/>
        <w:ind w:left="403" w:hanging="230"/>
      </w:pPr>
      <w:r>
        <w:t>Attention mask 隔离两种动作表示，避免信息泄漏。</w:t>
      </w:r>
    </w:p>
    <w:p>
      <w:pPr>
        <w:pStyle w:val="ListBullet"/>
        <w:ind w:left="403" w:hanging="230"/>
      </w:pPr>
      <w:r>
        <w:t>OpenPI 常规微调不等于论文完整 π0.5 系统。</w:t>
      </w:r>
    </w:p>
    <w:p>
      <w:pPr>
        <w:pStyle w:val="Heading1"/>
      </w:pPr>
      <w:r>
        <w:t>证据位置</w:t>
      </w:r>
    </w:p>
    <w:p>
      <w:r>
        <w:t>图 3 与两阶段总览：第 4 页；架构、概率分解与 Loss：第 5 页；数据配方：第 6–7 页；实验与消融：第 8–11 页；技术细节与 Attention Mask：第 19 页，附录 E。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773"/>
        <w:sz w:val="17"/>
      </w:rPr>
      <w:t>Physical Intelligence · 2025  |  可视化精读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773"/>
        <w:sz w:val="17"/>
      </w:rPr>
      <w:t>π0.5 · Visual Paper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82D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82D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π0.5 论文可视化精读</dc:title>
  <dc:subject>VLA、异构共训练、Flow Matching 与高低层推理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