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A" w:rsidRPr="004E6888" w:rsidRDefault="006D58CA" w:rsidP="006D58CA">
      <w:pPr>
        <w:pStyle w:val="af1"/>
        <w:jc w:val="center"/>
        <w:rPr>
          <w:rFonts w:ascii="Times New Roman" w:hAnsi="Times New Roman"/>
          <w:b/>
          <w:sz w:val="24"/>
          <w:szCs w:val="24"/>
        </w:rPr>
      </w:pPr>
      <w:r w:rsidRPr="004E6888">
        <w:rPr>
          <w:rFonts w:ascii="Times New Roman" w:hAnsi="Times New Roman"/>
          <w:b/>
          <w:sz w:val="24"/>
          <w:szCs w:val="24"/>
        </w:rPr>
        <w:t>Интегральные оценки качества переходного процесса</w:t>
      </w:r>
    </w:p>
    <w:p w:rsidR="006D58CA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>Этот способ оценки качества регулирования дает возможность сделать заключение о быстроте затухания и величине отклонений регулируемой величины от установившегося значения. Этот способ может быть применен как к линейным, так и к нелинейным системам автоматического регулирования.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>В некоторых случаях, например, когда система регулирования находится в режиме управления, интегральные оценки удобнее рассматривать не по параметру</w:t>
      </w:r>
      <w:r w:rsidRPr="004E6888">
        <w:rPr>
          <w:rFonts w:ascii="Times New Roman" w:hAnsi="Times New Roman"/>
          <w:sz w:val="24"/>
          <w:szCs w:val="24"/>
        </w:rPr>
        <w:t xml:space="preserve"> </w:t>
      </w:r>
      <w:r w:rsidRPr="004E6888">
        <w:rPr>
          <w:rFonts w:ascii="Times New Roman" w:hAnsi="Times New Roman"/>
          <w:position w:val="-14"/>
          <w:sz w:val="24"/>
          <w:szCs w:val="2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5" o:title=""/>
          </v:shape>
          <o:OLEObject Type="Embed" ProgID="Equation.DSMT4" ShapeID="_x0000_i1025" DrawAspect="Content" ObjectID="_1599986328" r:id="rId6"/>
        </w:object>
      </w:r>
      <w:r w:rsidRPr="007362F4">
        <w:rPr>
          <w:rFonts w:ascii="Times New Roman" w:hAnsi="Times New Roman"/>
          <w:sz w:val="24"/>
          <w:szCs w:val="24"/>
        </w:rPr>
        <w:t xml:space="preserve">, определяемому </w:t>
      </w:r>
      <w:proofErr w:type="spellStart"/>
      <w:r w:rsidRPr="007362F4">
        <w:rPr>
          <w:rFonts w:ascii="Times New Roman" w:hAnsi="Times New Roman"/>
          <w:sz w:val="24"/>
          <w:szCs w:val="24"/>
        </w:rPr>
        <w:t>уравением</w:t>
      </w:r>
      <w:proofErr w:type="spellEnd"/>
      <w:r w:rsidRPr="007362F4">
        <w:rPr>
          <w:rFonts w:ascii="Times New Roman" w:hAnsi="Times New Roman"/>
          <w:sz w:val="24"/>
          <w:szCs w:val="24"/>
        </w:rPr>
        <w:t xml:space="preserve"> вынужденного движения (4.42), а по параметру </w:t>
      </w:r>
      <w:r w:rsidRPr="004E6888">
        <w:rPr>
          <w:rFonts w:ascii="Times New Roman" w:hAnsi="Times New Roman"/>
          <w:position w:val="-14"/>
          <w:sz w:val="24"/>
          <w:szCs w:val="24"/>
        </w:rPr>
        <w:object w:dxaOrig="480" w:dyaOrig="400">
          <v:shape id="_x0000_i1026" type="#_x0000_t75" style="width:24pt;height:20.25pt" o:ole="">
            <v:imagedata r:id="rId7" o:title=""/>
          </v:shape>
          <o:OLEObject Type="Embed" ProgID="Equation.DSMT4" ShapeID="_x0000_i1026" DrawAspect="Content" ObjectID="_1599986329" r:id="rId8"/>
        </w:object>
      </w:r>
      <w:r w:rsidRPr="007362F4">
        <w:rPr>
          <w:rFonts w:ascii="Times New Roman" w:hAnsi="Times New Roman"/>
          <w:sz w:val="24"/>
          <w:szCs w:val="24"/>
        </w:rPr>
        <w:t xml:space="preserve">. Связь между параметрами </w:t>
      </w:r>
      <w:r w:rsidRPr="004E6888">
        <w:rPr>
          <w:rFonts w:ascii="Times New Roman" w:hAnsi="Times New Roman"/>
          <w:position w:val="-14"/>
          <w:sz w:val="24"/>
          <w:szCs w:val="24"/>
        </w:rPr>
        <w:object w:dxaOrig="480" w:dyaOrig="400">
          <v:shape id="_x0000_i1027" type="#_x0000_t75" style="width:24pt;height:20.25pt" o:ole="">
            <v:imagedata r:id="rId7" o:title=""/>
          </v:shape>
          <o:OLEObject Type="Embed" ProgID="Equation.DSMT4" ShapeID="_x0000_i1027" DrawAspect="Content" ObjectID="_1599986330" r:id="rId9"/>
        </w:object>
      </w:r>
      <w:r w:rsidRPr="007362F4">
        <w:rPr>
          <w:rFonts w:ascii="Times New Roman" w:hAnsi="Times New Roman"/>
          <w:sz w:val="24"/>
          <w:szCs w:val="24"/>
        </w:rPr>
        <w:t xml:space="preserve"> и </w:t>
      </w:r>
      <w:r w:rsidRPr="004E6888">
        <w:rPr>
          <w:rFonts w:ascii="Times New Roman" w:hAnsi="Times New Roman"/>
          <w:position w:val="-14"/>
          <w:sz w:val="24"/>
          <w:szCs w:val="24"/>
        </w:rPr>
        <w:object w:dxaOrig="480" w:dyaOrig="400">
          <v:shape id="_x0000_i1028" type="#_x0000_t75" style="width:24pt;height:20.25pt" o:ole="">
            <v:imagedata r:id="rId5" o:title=""/>
          </v:shape>
          <o:OLEObject Type="Embed" ProgID="Equation.DSMT4" ShapeID="_x0000_i1028" DrawAspect="Content" ObjectID="_1599986331" r:id="rId10"/>
        </w:object>
      </w:r>
      <w:r w:rsidRPr="007362F4">
        <w:rPr>
          <w:rFonts w:ascii="Times New Roman" w:hAnsi="Times New Roman"/>
          <w:sz w:val="24"/>
          <w:szCs w:val="24"/>
        </w:rPr>
        <w:t xml:space="preserve"> видна из рис. 4.24, а и устанавливается выражением</w:t>
      </w:r>
    </w:p>
    <w:p w:rsidR="006D58CA" w:rsidRPr="004E6888" w:rsidRDefault="006D58CA" w:rsidP="006D58CA">
      <w:pPr>
        <w:pStyle w:val="MTDisplayEquation"/>
      </w:pPr>
      <w:r>
        <w:tab/>
      </w:r>
      <w:r w:rsidRPr="004E6888">
        <w:rPr>
          <w:position w:val="-14"/>
        </w:rPr>
        <w:object w:dxaOrig="1860" w:dyaOrig="400">
          <v:shape id="_x0000_i1029" type="#_x0000_t75" style="width:93pt;height:20.25pt" o:ole="">
            <v:imagedata r:id="rId11" o:title=""/>
          </v:shape>
          <o:OLEObject Type="Embed" ProgID="Equation.DSMT4" ShapeID="_x0000_i1029" DrawAspect="Content" ObjectID="_1599986332" r:id="rId12"/>
        </w:object>
      </w:r>
      <w:r w:rsidRPr="004E6888">
        <w:t>.</w:t>
      </w:r>
      <w:r>
        <w:t xml:space="preserve"> </w:t>
      </w:r>
      <w:r>
        <w:rPr>
          <w:lang w:val="en-US"/>
        </w:rPr>
        <w:tab/>
      </w:r>
      <w:r w:rsidRPr="007362F4">
        <w:t>(4.53)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Вид переходного процесса </w:t>
      </w:r>
      <w:r w:rsidRPr="004E6888">
        <w:rPr>
          <w:rFonts w:ascii="Times New Roman" w:hAnsi="Times New Roman"/>
          <w:position w:val="-14"/>
          <w:sz w:val="24"/>
          <w:szCs w:val="24"/>
        </w:rPr>
        <w:object w:dxaOrig="480" w:dyaOrig="400">
          <v:shape id="_x0000_i1030" type="#_x0000_t75" style="width:24pt;height:20.25pt" o:ole="">
            <v:imagedata r:id="rId7" o:title=""/>
          </v:shape>
          <o:OLEObject Type="Embed" ProgID="Equation.DSMT4" ShapeID="_x0000_i1030" DrawAspect="Content" ObjectID="_1599986333" r:id="rId13"/>
        </w:object>
      </w:r>
      <w:r w:rsidRPr="007362F4">
        <w:rPr>
          <w:rFonts w:ascii="Times New Roman" w:hAnsi="Times New Roman"/>
          <w:sz w:val="24"/>
          <w:szCs w:val="24"/>
        </w:rPr>
        <w:t xml:space="preserve"> (рис. 4.24, и) соответствует уравнению свободного движения</w:t>
      </w:r>
    </w:p>
    <w:p w:rsidR="006D58CA" w:rsidRPr="00A74259" w:rsidRDefault="006D58CA" w:rsidP="006D58CA">
      <w:pPr>
        <w:pStyle w:val="MTDisplayEquation"/>
      </w:pPr>
      <w:r>
        <w:tab/>
      </w:r>
      <w:r w:rsidRPr="00A74259">
        <w:rPr>
          <w:position w:val="-20"/>
        </w:rPr>
        <w:object w:dxaOrig="3680" w:dyaOrig="520">
          <v:shape id="_x0000_i1031" type="#_x0000_t75" style="width:183.75pt;height:26.25pt" o:ole="">
            <v:imagedata r:id="rId14" o:title=""/>
          </v:shape>
          <o:OLEObject Type="Embed" ProgID="Equation.DSMT4" ShapeID="_x0000_i1031" DrawAspect="Content" ObjectID="_1599986334" r:id="rId15"/>
        </w:object>
      </w:r>
      <w:r w:rsidRPr="00A74259">
        <w:t>,</w:t>
      </w:r>
      <w:r>
        <w:t xml:space="preserve"> </w:t>
      </w:r>
      <w:r w:rsidRPr="00A74259">
        <w:tab/>
      </w:r>
      <w:r w:rsidRPr="007362F4">
        <w:t>(4.54)</w:t>
      </w:r>
    </w:p>
    <w:p w:rsidR="006D58CA" w:rsidRPr="007362F4" w:rsidRDefault="006D58CA" w:rsidP="006D58CA">
      <w:pPr>
        <w:pStyle w:val="af1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которое получается из предположения, что возмущение в системе регулирования было вызвано единичной функцией до начала отсчета времени, </w:t>
      </w:r>
      <w:proofErr w:type="spellStart"/>
      <w:r w:rsidRPr="007362F4">
        <w:rPr>
          <w:rFonts w:ascii="Times New Roman" w:hAnsi="Times New Roman"/>
          <w:sz w:val="24"/>
          <w:szCs w:val="24"/>
        </w:rPr>
        <w:t>т.е</w:t>
      </w:r>
      <w:proofErr w:type="spellEnd"/>
      <w:r w:rsidRPr="007362F4">
        <w:rPr>
          <w:rFonts w:ascii="Times New Roman" w:hAnsi="Times New Roman"/>
          <w:sz w:val="24"/>
          <w:szCs w:val="24"/>
        </w:rPr>
        <w:t xml:space="preserve">, при </w:t>
      </w:r>
      <w:r w:rsidRPr="00A74259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032" type="#_x0000_t75" style="width:24.75pt;height:14.25pt" o:ole="">
            <v:imagedata r:id="rId16" o:title=""/>
          </v:shape>
          <o:OLEObject Type="Embed" ProgID="Equation.DSMT4" ShapeID="_x0000_i1032" DrawAspect="Content" ObjectID="_1599986335" r:id="rId1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возмущение </w:t>
      </w:r>
      <w:r w:rsidRPr="00A74259">
        <w:rPr>
          <w:rFonts w:ascii="Times New Roman" w:hAnsi="Times New Roman"/>
          <w:position w:val="-14"/>
          <w:sz w:val="24"/>
          <w:szCs w:val="24"/>
        </w:rPr>
        <w:object w:dxaOrig="880" w:dyaOrig="400">
          <v:shape id="_x0000_i1033" type="#_x0000_t75" style="width:44.25pt;height:20.25pt" o:ole="">
            <v:imagedata r:id="rId18" o:title=""/>
          </v:shape>
          <o:OLEObject Type="Embed" ProgID="Equation.DSMT4" ShapeID="_x0000_i1033" DrawAspect="Content" ObjectID="_1599986336" r:id="rId19"/>
        </w:object>
      </w:r>
      <w:r w:rsidRPr="007362F4">
        <w:rPr>
          <w:rFonts w:ascii="Times New Roman" w:hAnsi="Times New Roman"/>
          <w:sz w:val="24"/>
          <w:szCs w:val="24"/>
        </w:rPr>
        <w:t xml:space="preserve">, а при </w:t>
      </w:r>
      <w:r w:rsidRPr="00A74259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034" type="#_x0000_t75" style="width:24.75pt;height:14.25pt" o:ole="">
            <v:imagedata r:id="rId20" o:title=""/>
          </v:shape>
          <o:OLEObject Type="Embed" ProgID="Equation.DSMT4" ShapeID="_x0000_i1034" DrawAspect="Content" ObjectID="_1599986337" r:id="rId21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возмущение </w:t>
      </w:r>
      <w:r w:rsidRPr="00A74259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35" type="#_x0000_t75" style="width:30.75pt;height:18pt" o:ole="">
            <v:imagedata r:id="rId22" o:title=""/>
          </v:shape>
          <o:OLEObject Type="Embed" ProgID="Equation.DSMT4" ShapeID="_x0000_i1035" DrawAspect="Content" ObjectID="_1599986338" r:id="rId23"/>
        </w:object>
      </w:r>
      <w:r w:rsidRPr="007362F4">
        <w:rPr>
          <w:rFonts w:ascii="Times New Roman" w:hAnsi="Times New Roman"/>
          <w:sz w:val="24"/>
          <w:szCs w:val="24"/>
        </w:rPr>
        <w:t>.</w:t>
      </w:r>
    </w:p>
    <w:p w:rsidR="006D58CA" w:rsidRDefault="006D58CA" w:rsidP="006D58CA">
      <w:pPr>
        <w:pStyle w:val="af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00675" cy="2228850"/>
            <wp:effectExtent l="0" t="0" r="9525" b="0"/>
            <wp:docPr id="2" name="Рисунок 2" descr="Xerox WorkCentre 3550_20121214093352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erox WorkCentre 3550_20121214093352_1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CA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Допустим, что движения замкнутой системы регулирования описываются уравнением (4.54). Предположим, что можно определить величину какого-либо из интегралов, в подынтегральную функцию которых будет входить переменная </w:t>
      </w:r>
      <w:r w:rsidRPr="00A74259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37" type="#_x0000_t75" style="width:9.75pt;height:9.75pt" o:ole="">
            <v:imagedata r:id="rId25" o:title=""/>
          </v:shape>
          <o:OLEObject Type="Embed" ProgID="Equation.DSMT4" ShapeID="_x0000_i1037" DrawAspect="Content" ObjectID="_1599986339" r:id="rId26"/>
        </w:object>
      </w:r>
      <w:r w:rsidRPr="007362F4">
        <w:rPr>
          <w:rFonts w:ascii="Times New Roman" w:hAnsi="Times New Roman"/>
          <w:sz w:val="24"/>
          <w:szCs w:val="24"/>
        </w:rPr>
        <w:t>:</w:t>
      </w:r>
    </w:p>
    <w:p w:rsidR="006D58CA" w:rsidRPr="00A74259" w:rsidRDefault="006D58CA" w:rsidP="006D58CA">
      <w:pPr>
        <w:pStyle w:val="MTDisplayEquation"/>
        <w:rPr>
          <w:lang w:val="en-US"/>
        </w:rPr>
      </w:pPr>
      <w:r>
        <w:tab/>
      </w:r>
      <w:r w:rsidRPr="00A74259">
        <w:rPr>
          <w:position w:val="-36"/>
        </w:rPr>
        <w:object w:dxaOrig="3440" w:dyaOrig="840">
          <v:shape id="_x0000_i1038" type="#_x0000_t75" style="width:171.75pt;height:42pt" o:ole="">
            <v:imagedata r:id="rId27" o:title=""/>
          </v:shape>
          <o:OLEObject Type="Embed" ProgID="Equation.DSMT4" ShapeID="_x0000_i1038" DrawAspect="Content" ObjectID="_1599986340" r:id="rId28"/>
        </w:object>
      </w:r>
      <w:r w:rsidRPr="00A74259">
        <w:rPr>
          <w:lang w:val="en-US"/>
        </w:rPr>
        <w:t xml:space="preserve"> 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Примем без доказательства положение, что качество регулирования системы тем выше, чем меньше величина </w:t>
      </w:r>
      <w:r>
        <w:rPr>
          <w:rFonts w:ascii="Times New Roman" w:hAnsi="Times New Roman"/>
          <w:sz w:val="24"/>
          <w:szCs w:val="24"/>
        </w:rPr>
        <w:t>одного из перечисленных интегра</w:t>
      </w:r>
      <w:r w:rsidRPr="007362F4">
        <w:rPr>
          <w:rFonts w:ascii="Times New Roman" w:hAnsi="Times New Roman"/>
          <w:sz w:val="24"/>
          <w:szCs w:val="24"/>
        </w:rPr>
        <w:t>лов. Достоинства интегральной оценки определяются тем, насколько она отражает качества переходного процесса и какие трудности встают на пути ее определения. Наиболее просто определяется интеграл</w:t>
      </w:r>
      <w:r w:rsidRPr="00A74259">
        <w:rPr>
          <w:rFonts w:ascii="Times New Roman" w:hAnsi="Times New Roman"/>
          <w:sz w:val="24"/>
          <w:szCs w:val="24"/>
        </w:rPr>
        <w:t xml:space="preserve"> </w:t>
      </w:r>
      <w:r w:rsidRPr="00A74259">
        <w:rPr>
          <w:rFonts w:ascii="Times New Roman" w:hAnsi="Times New Roman"/>
          <w:position w:val="-12"/>
          <w:sz w:val="24"/>
          <w:szCs w:val="24"/>
          <w:lang w:val="en-US"/>
        </w:rPr>
        <w:object w:dxaOrig="240" w:dyaOrig="360">
          <v:shape id="_x0000_i1039" type="#_x0000_t75" style="width:12pt;height:18pt" o:ole="">
            <v:imagedata r:id="rId29" o:title=""/>
          </v:shape>
          <o:OLEObject Type="Embed" ProgID="Equation.DSMT4" ShapeID="_x0000_i1039" DrawAspect="Content" ObjectID="_1599986341" r:id="rId30"/>
        </w:object>
      </w:r>
      <w:r w:rsidRPr="00A74259">
        <w:rPr>
          <w:rFonts w:ascii="Times New Roman" w:hAnsi="Times New Roman"/>
          <w:sz w:val="24"/>
          <w:szCs w:val="24"/>
        </w:rPr>
        <w:t>.</w:t>
      </w:r>
      <w:r w:rsidRPr="007362F4">
        <w:rPr>
          <w:rFonts w:ascii="Times New Roman" w:hAnsi="Times New Roman"/>
          <w:sz w:val="24"/>
          <w:szCs w:val="24"/>
        </w:rPr>
        <w:t xml:space="preserve"> Действительно, применим преобразование Лапласа к уравнению движения системы (4.54). Так как</w:t>
      </w:r>
    </w:p>
    <w:p w:rsidR="006D58CA" w:rsidRPr="00F407D9" w:rsidRDefault="006D58CA" w:rsidP="006D58CA">
      <w:pPr>
        <w:pStyle w:val="MTDisplayEquation"/>
        <w:rPr>
          <w:lang w:val="en-US"/>
        </w:rPr>
      </w:pPr>
      <w:r>
        <w:tab/>
      </w:r>
      <w:r w:rsidRPr="00F407D9">
        <w:rPr>
          <w:position w:val="-36"/>
        </w:rPr>
        <w:object w:dxaOrig="2240" w:dyaOrig="840">
          <v:shape id="_x0000_i1040" type="#_x0000_t75" style="width:111.75pt;height:42pt" o:ole="">
            <v:imagedata r:id="rId31" o:title=""/>
          </v:shape>
          <o:OLEObject Type="Embed" ProgID="Equation.DSMT4" ShapeID="_x0000_i1040" DrawAspect="Content" ObjectID="_1599986342" r:id="rId32"/>
        </w:object>
      </w:r>
      <w:r>
        <w:rPr>
          <w:lang w:val="en-US"/>
        </w:rPr>
        <w:t>,</w:t>
      </w:r>
    </w:p>
    <w:p w:rsidR="006D58CA" w:rsidRPr="00F407D9" w:rsidRDefault="006D58CA" w:rsidP="006D58CA">
      <w:pPr>
        <w:pStyle w:val="af1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то при заданных начальных условиях и при </w:t>
      </w:r>
      <w:r w:rsidRPr="00F407D9">
        <w:rPr>
          <w:rFonts w:ascii="Times New Roman" w:hAnsi="Times New Roman"/>
          <w:position w:val="-6"/>
          <w:sz w:val="24"/>
          <w:szCs w:val="24"/>
        </w:rPr>
        <w:object w:dxaOrig="639" w:dyaOrig="279">
          <v:shape id="_x0000_i1041" type="#_x0000_t75" style="width:32.25pt;height:14.25pt" o:ole="">
            <v:imagedata r:id="rId33" o:title=""/>
          </v:shape>
          <o:OLEObject Type="Embed" ProgID="Equation.DSMT4" ShapeID="_x0000_i1041" DrawAspect="Content" ObjectID="_1599986343" r:id="rId34"/>
        </w:object>
      </w:r>
    </w:p>
    <w:p w:rsidR="006D58CA" w:rsidRPr="00F407D9" w:rsidRDefault="006D58CA" w:rsidP="006D58CA">
      <w:pPr>
        <w:pStyle w:val="MTDisplayEquation"/>
      </w:pPr>
      <w:r>
        <w:tab/>
      </w:r>
      <w:r w:rsidRPr="00F407D9">
        <w:rPr>
          <w:position w:val="-36"/>
        </w:rPr>
        <w:object w:dxaOrig="2299" w:dyaOrig="840">
          <v:shape id="_x0000_i1042" type="#_x0000_t75" style="width:114.75pt;height:42pt" o:ole="">
            <v:imagedata r:id="rId35" o:title=""/>
          </v:shape>
          <o:OLEObject Type="Embed" ProgID="Equation.DSMT4" ShapeID="_x0000_i1042" DrawAspect="Content" ObjectID="_1599986344" r:id="rId36"/>
        </w:object>
      </w:r>
      <w:r w:rsidRPr="00F407D9">
        <w:t>.</w:t>
      </w:r>
      <w:r>
        <w:t xml:space="preserve"> </w:t>
      </w:r>
      <w:r>
        <w:rPr>
          <w:lang w:val="en-US"/>
        </w:rPr>
        <w:tab/>
      </w:r>
      <w:r w:rsidRPr="007362F4">
        <w:t>(4.55)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lastRenderedPageBreak/>
        <w:t xml:space="preserve">Имеется и другой путь определения </w:t>
      </w:r>
      <w:r w:rsidRPr="00F407D9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43" type="#_x0000_t75" style="width:12pt;height:18pt" o:ole="">
            <v:imagedata r:id="rId37" o:title=""/>
          </v:shape>
          <o:OLEObject Type="Embed" ProgID="Equation.DSMT4" ShapeID="_x0000_i1043" DrawAspect="Content" ObjectID="_1599986345" r:id="rId38"/>
        </w:object>
      </w:r>
      <w:r w:rsidRPr="007362F4">
        <w:rPr>
          <w:rFonts w:ascii="Times New Roman" w:hAnsi="Times New Roman"/>
          <w:sz w:val="24"/>
          <w:szCs w:val="24"/>
        </w:rPr>
        <w:t xml:space="preserve">. Проинтегрировав </w:t>
      </w:r>
      <w:proofErr w:type="spellStart"/>
      <w:r w:rsidRPr="007362F4">
        <w:rPr>
          <w:rFonts w:ascii="Times New Roman" w:hAnsi="Times New Roman"/>
          <w:sz w:val="24"/>
          <w:szCs w:val="24"/>
        </w:rPr>
        <w:t>почленно</w:t>
      </w:r>
      <w:proofErr w:type="spellEnd"/>
      <w:r w:rsidRPr="007362F4">
        <w:rPr>
          <w:rFonts w:ascii="Times New Roman" w:hAnsi="Times New Roman"/>
          <w:sz w:val="24"/>
          <w:szCs w:val="24"/>
        </w:rPr>
        <w:t xml:space="preserve"> уравнение (4.54), получим</w:t>
      </w:r>
    </w:p>
    <w:p w:rsidR="006D58CA" w:rsidRDefault="006D58CA" w:rsidP="006D58CA">
      <w:pPr>
        <w:pStyle w:val="MTDisplayEquation"/>
      </w:pPr>
      <w:r>
        <w:tab/>
      </w:r>
      <w:r w:rsidRPr="00F407D9">
        <w:rPr>
          <w:position w:val="-36"/>
        </w:rPr>
        <w:object w:dxaOrig="5300" w:dyaOrig="840">
          <v:shape id="_x0000_i1044" type="#_x0000_t75" style="width:264.75pt;height:42pt" o:ole="">
            <v:imagedata r:id="rId39" o:title=""/>
          </v:shape>
          <o:OLEObject Type="Embed" ProgID="Equation.DSMT4" ShapeID="_x0000_i1044" DrawAspect="Content" ObjectID="_1599986346" r:id="rId40"/>
        </w:object>
      </w:r>
      <w:r>
        <w:rPr>
          <w:lang w:val="en-US"/>
        </w:rPr>
        <w:t>,</w:t>
      </w:r>
      <w:r>
        <w:t xml:space="preserve"> </w:t>
      </w:r>
    </w:p>
    <w:p w:rsidR="006D58CA" w:rsidRPr="007362F4" w:rsidRDefault="006D58CA" w:rsidP="006D58CA">
      <w:pPr>
        <w:pStyle w:val="af1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>или</w:t>
      </w:r>
    </w:p>
    <w:p w:rsidR="006D58CA" w:rsidRDefault="006D58CA" w:rsidP="006D58CA">
      <w:pPr>
        <w:pStyle w:val="MTDisplayEquation"/>
      </w:pPr>
      <w:r>
        <w:tab/>
      </w:r>
      <w:r w:rsidRPr="00F407D9">
        <w:rPr>
          <w:position w:val="-36"/>
        </w:rPr>
        <w:object w:dxaOrig="4560" w:dyaOrig="840">
          <v:shape id="_x0000_i1045" type="#_x0000_t75" style="width:228pt;height:42pt" o:ole="">
            <v:imagedata r:id="rId41" o:title=""/>
          </v:shape>
          <o:OLEObject Type="Embed" ProgID="Equation.DSMT4" ShapeID="_x0000_i1045" DrawAspect="Content" ObjectID="_1599986347" r:id="rId42"/>
        </w:object>
      </w:r>
      <w:r w:rsidRPr="00F407D9">
        <w:t>.</w:t>
      </w:r>
      <w:r>
        <w:t xml:space="preserve"> 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Подстановка верхнего предела во всех слагаемых дает нули, так как система устойчива и все ее производные при </w:t>
      </w:r>
      <w:r w:rsidRPr="00F407D9">
        <w:rPr>
          <w:rFonts w:ascii="Times New Roman" w:hAnsi="Times New Roman"/>
          <w:position w:val="-6"/>
          <w:sz w:val="24"/>
          <w:szCs w:val="24"/>
        </w:rPr>
        <w:object w:dxaOrig="660" w:dyaOrig="240">
          <v:shape id="_x0000_i1046" type="#_x0000_t75" style="width:33pt;height:12pt" o:ole="">
            <v:imagedata r:id="rId43" o:title=""/>
          </v:shape>
          <o:OLEObject Type="Embed" ProgID="Equation.DSMT4" ShapeID="_x0000_i1046" DrawAspect="Content" ObjectID="_1599986348" r:id="rId4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>стремятся к нулю. Поэтому</w:t>
      </w:r>
    </w:p>
    <w:p w:rsidR="006D58CA" w:rsidRPr="00D870D8" w:rsidRDefault="006D58CA" w:rsidP="006D58CA">
      <w:pPr>
        <w:pStyle w:val="MTDisplayEquation"/>
      </w:pPr>
      <w:r>
        <w:tab/>
      </w:r>
      <w:r w:rsidRPr="00F407D9">
        <w:rPr>
          <w:position w:val="-36"/>
        </w:rPr>
        <w:object w:dxaOrig="5060" w:dyaOrig="859">
          <v:shape id="_x0000_i1047" type="#_x0000_t75" style="width:252.75pt;height:42.75pt" o:ole="">
            <v:imagedata r:id="rId45" o:title=""/>
          </v:shape>
          <o:OLEObject Type="Embed" ProgID="Equation.DSMT4" ShapeID="_x0000_i1047" DrawAspect="Content" ObjectID="_1599986349" r:id="rId46"/>
        </w:object>
      </w:r>
      <w:r w:rsidRPr="00D870D8">
        <w:t>,</w:t>
      </w:r>
      <w:r>
        <w:t xml:space="preserve"> </w:t>
      </w:r>
      <w:r w:rsidRPr="00D870D8">
        <w:tab/>
      </w:r>
      <w:r w:rsidRPr="007362F4">
        <w:t>(4.56)</w:t>
      </w:r>
    </w:p>
    <w:p w:rsidR="006D58CA" w:rsidRPr="007362F4" w:rsidRDefault="006D58CA" w:rsidP="006D58CA">
      <w:pPr>
        <w:pStyle w:val="af1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где </w:t>
      </w:r>
      <w:r w:rsidRPr="00D870D8">
        <w:rPr>
          <w:rFonts w:ascii="Times New Roman" w:hAnsi="Times New Roman"/>
          <w:position w:val="-14"/>
          <w:sz w:val="24"/>
          <w:szCs w:val="24"/>
        </w:rPr>
        <w:object w:dxaOrig="940" w:dyaOrig="460">
          <v:shape id="_x0000_i1048" type="#_x0000_t75" style="width:47.25pt;height:23.25pt" o:ole="">
            <v:imagedata r:id="rId47" o:title=""/>
          </v:shape>
          <o:OLEObject Type="Embed" ProgID="Equation.DSMT4" ShapeID="_x0000_i1048" DrawAspect="Content" ObjectID="_1599986350" r:id="rId48"/>
        </w:object>
      </w:r>
      <w:r w:rsidRPr="007362F4">
        <w:rPr>
          <w:rFonts w:ascii="Times New Roman" w:hAnsi="Times New Roman"/>
          <w:sz w:val="24"/>
          <w:szCs w:val="24"/>
        </w:rPr>
        <w:t xml:space="preserve">, </w:t>
      </w:r>
      <w:r w:rsidRPr="00D870D8">
        <w:rPr>
          <w:rFonts w:ascii="Times New Roman" w:hAnsi="Times New Roman"/>
          <w:position w:val="-14"/>
          <w:sz w:val="24"/>
          <w:szCs w:val="24"/>
        </w:rPr>
        <w:object w:dxaOrig="980" w:dyaOrig="460">
          <v:shape id="_x0000_i1049" type="#_x0000_t75" style="width:48.75pt;height:23.25pt" o:ole="">
            <v:imagedata r:id="rId49" o:title=""/>
          </v:shape>
          <o:OLEObject Type="Embed" ProgID="Equation.DSMT4" ShapeID="_x0000_i1049" DrawAspect="Content" ObjectID="_1599986351" r:id="rId50"/>
        </w:object>
      </w:r>
      <w:r>
        <w:rPr>
          <w:rFonts w:ascii="Times New Roman" w:hAnsi="Times New Roman"/>
          <w:sz w:val="24"/>
          <w:szCs w:val="24"/>
        </w:rPr>
        <w:t>,…</w:t>
      </w:r>
      <w:r w:rsidRPr="007362F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70D8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050" type="#_x0000_t75" style="width:26.25pt;height:20.25pt" o:ole="">
            <v:imagedata r:id="rId51" o:title=""/>
          </v:shape>
          <o:OLEObject Type="Embed" ProgID="Equation.DSMT4" ShapeID="_x0000_i1050" DrawAspect="Content" ObjectID="_1599986352" r:id="rId52"/>
        </w:object>
      </w:r>
      <w:r w:rsidRPr="007362F4">
        <w:rPr>
          <w:rFonts w:ascii="Times New Roman" w:hAnsi="Times New Roman"/>
          <w:sz w:val="24"/>
          <w:szCs w:val="24"/>
        </w:rPr>
        <w:t xml:space="preserve"> - заданные начальные условия.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Интеграл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1" type="#_x0000_t75" style="width:12.75pt;height:18pt" o:ole="">
            <v:imagedata r:id="rId53" o:title=""/>
          </v:shape>
          <o:OLEObject Type="Embed" ProgID="Equation.DSMT4" ShapeID="_x0000_i1051" DrawAspect="Content" ObjectID="_1599986353" r:id="rId5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можно вычислить с помощью вещественной частотной функции замкнутой системы и интеграла Фурье. Вычисление интеграла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2" type="#_x0000_t75" style="width:12.75pt;height:18pt" o:ole="">
            <v:imagedata r:id="rId55" o:title=""/>
          </v:shape>
          <o:OLEObject Type="Embed" ProgID="Equation.DSMT4" ShapeID="_x0000_i1052" DrawAspect="Content" ObjectID="_1599986354" r:id="rId5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трудоемко, поэтому он обычно не применяется. По величине интегралов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3" type="#_x0000_t75" style="width:12.75pt;height:18pt" o:ole="">
            <v:imagedata r:id="rId57" o:title=""/>
          </v:shape>
          <o:OLEObject Type="Embed" ProgID="Equation.DSMT4" ShapeID="_x0000_i1053" DrawAspect="Content" ObjectID="_1599986355" r:id="rId58"/>
        </w:object>
      </w:r>
      <w:r w:rsidRPr="007362F4">
        <w:rPr>
          <w:rFonts w:ascii="Times New Roman" w:hAnsi="Times New Roman"/>
          <w:sz w:val="24"/>
          <w:szCs w:val="24"/>
        </w:rPr>
        <w:t xml:space="preserve">,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54" type="#_x0000_t75" style="width:12pt;height:18pt" o:ole="">
            <v:imagedata r:id="rId59" o:title=""/>
          </v:shape>
          <o:OLEObject Type="Embed" ProgID="Equation.DSMT4" ShapeID="_x0000_i1054" DrawAspect="Content" ObjectID="_1599986356" r:id="rId6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и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5" type="#_x0000_t75" style="width:12.75pt;height:18pt" o:ole="">
            <v:imagedata r:id="rId61" o:title=""/>
          </v:shape>
          <o:OLEObject Type="Embed" ProgID="Equation.DSMT4" ShapeID="_x0000_i1055" DrawAspect="Content" ObjectID="_1599986357" r:id="rId6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нельзя высказать какие-либо строгие суждения о характере переходного процесса. Так, например, из двух переходных процессов, показанных на рис. 4.25, а и </w:t>
      </w:r>
      <w:r>
        <w:rPr>
          <w:rFonts w:ascii="Times New Roman" w:hAnsi="Times New Roman"/>
          <w:sz w:val="24"/>
          <w:szCs w:val="24"/>
        </w:rPr>
        <w:t>б</w:t>
      </w:r>
      <w:r w:rsidRPr="007362F4">
        <w:rPr>
          <w:rFonts w:ascii="Times New Roman" w:hAnsi="Times New Roman"/>
          <w:sz w:val="24"/>
          <w:szCs w:val="24"/>
        </w:rPr>
        <w:t xml:space="preserve">, предпочтение следует отдать апериодическому переходному процессу (см. рис. 4.25, а). Однако величина интеграла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56" type="#_x0000_t75" style="width:12pt;height:18pt" o:ole="">
            <v:imagedata r:id="rId59" o:title=""/>
          </v:shape>
          <o:OLEObject Type="Embed" ProgID="Equation.DSMT4" ShapeID="_x0000_i1056" DrawAspect="Content" ObjectID="_1599986358" r:id="rId63"/>
        </w:object>
      </w:r>
      <w:r w:rsidRPr="007362F4">
        <w:rPr>
          <w:rFonts w:ascii="Times New Roman" w:hAnsi="Times New Roman"/>
          <w:sz w:val="24"/>
          <w:szCs w:val="24"/>
        </w:rPr>
        <w:t xml:space="preserve"> для колебательного процесса (см. рис, 4.25, б)</w:t>
      </w:r>
      <w:r>
        <w:rPr>
          <w:rFonts w:ascii="Times New Roman" w:hAnsi="Times New Roman"/>
          <w:sz w:val="24"/>
          <w:szCs w:val="24"/>
        </w:rPr>
        <w:t xml:space="preserve"> будет меньше, чем для апериоди</w:t>
      </w:r>
      <w:r w:rsidRPr="007362F4">
        <w:rPr>
          <w:rFonts w:ascii="Times New Roman" w:hAnsi="Times New Roman"/>
          <w:sz w:val="24"/>
          <w:szCs w:val="24"/>
        </w:rPr>
        <w:t>ческого, так как составляющие площади под кривой процесса суммируются алгебраически, с учетом знака.</w:t>
      </w:r>
    </w:p>
    <w:p w:rsidR="006D58CA" w:rsidRDefault="006D58CA" w:rsidP="006D58CA">
      <w:pPr>
        <w:pStyle w:val="af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00675" cy="1809750"/>
            <wp:effectExtent l="0" t="0" r="9525" b="0"/>
            <wp:docPr id="1" name="Рисунок 1" descr="Xerox WorkCentre 3550_20121214093451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erox WorkCentre 3550_20121214093451_1_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Этого недостатка, присущего интегральной оценке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58" type="#_x0000_t75" style="width:12pt;height:18pt" o:ole="">
            <v:imagedata r:id="rId59" o:title=""/>
          </v:shape>
          <o:OLEObject Type="Embed" ProgID="Equation.DSMT4" ShapeID="_x0000_i1058" DrawAspect="Content" ObjectID="_1599986359" r:id="rId65"/>
        </w:object>
      </w:r>
      <w:r w:rsidRPr="007362F4">
        <w:rPr>
          <w:rFonts w:ascii="Times New Roman" w:hAnsi="Times New Roman"/>
          <w:sz w:val="24"/>
          <w:szCs w:val="24"/>
        </w:rPr>
        <w:t xml:space="preserve">, нет у интегральной оценки </w:t>
      </w:r>
      <w:r w:rsidRPr="00D870D8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59" type="#_x0000_t75" style="width:12.75pt;height:18pt" o:ole="">
            <v:imagedata r:id="rId61" o:title=""/>
          </v:shape>
          <o:OLEObject Type="Embed" ProgID="Equation.DSMT4" ShapeID="_x0000_i1059" DrawAspect="Content" ObjectID="_1599986360" r:id="rId66"/>
        </w:object>
      </w:r>
      <w:r w:rsidRPr="007362F4">
        <w:rPr>
          <w:rFonts w:ascii="Times New Roman" w:hAnsi="Times New Roman"/>
          <w:sz w:val="24"/>
          <w:szCs w:val="24"/>
        </w:rPr>
        <w:t xml:space="preserve">. Но и здесь не всегда получается объективная картина. Так, расчеты показывают, что </w:t>
      </w:r>
      <w:r w:rsidRPr="00C60DF4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60" type="#_x0000_t75" style="width:29.25pt;height:18pt" o:ole="">
            <v:imagedata r:id="rId67" o:title=""/>
          </v:shape>
          <o:OLEObject Type="Embed" ProgID="Equation.DSMT4" ShapeID="_x0000_i1060" DrawAspect="Content" ObjectID="_1599986361" r:id="rId68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 xml:space="preserve">получается при изменении </w:t>
      </w:r>
      <w:r w:rsidRPr="00C60DF4">
        <w:rPr>
          <w:rFonts w:ascii="Times New Roman" w:hAnsi="Times New Roman"/>
          <w:position w:val="-14"/>
          <w:sz w:val="24"/>
          <w:szCs w:val="24"/>
        </w:rPr>
        <w:object w:dxaOrig="480" w:dyaOrig="400">
          <v:shape id="_x0000_i1061" type="#_x0000_t75" style="width:24pt;height:20.25pt" o:ole="">
            <v:imagedata r:id="rId69" o:title=""/>
          </v:shape>
          <o:OLEObject Type="Embed" ProgID="Equation.DSMT4" ShapeID="_x0000_i1061" DrawAspect="Content" ObjectID="_1599986362" r:id="rId7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>по закону</w:t>
      </w:r>
    </w:p>
    <w:p w:rsidR="006D58CA" w:rsidRDefault="006D58CA" w:rsidP="006D58CA">
      <w:pPr>
        <w:pStyle w:val="MTDisplayEquation"/>
      </w:pPr>
      <w:r>
        <w:tab/>
      </w:r>
      <w:r w:rsidRPr="00C60DF4">
        <w:rPr>
          <w:position w:val="-24"/>
        </w:rPr>
        <w:object w:dxaOrig="1780" w:dyaOrig="620">
          <v:shape id="_x0000_i1062" type="#_x0000_t75" style="width:89.25pt;height:30.75pt" o:ole="">
            <v:imagedata r:id="rId71" o:title=""/>
          </v:shape>
          <o:OLEObject Type="Embed" ProgID="Equation.DSMT4" ShapeID="_x0000_i1062" DrawAspect="Content" ObjectID="_1599986363" r:id="rId72"/>
        </w:object>
      </w:r>
      <w:r>
        <w:t xml:space="preserve">, </w:t>
      </w:r>
      <w:r>
        <w:tab/>
      </w:r>
      <w:r w:rsidRPr="007362F4">
        <w:t>(4.57)</w:t>
      </w:r>
    </w:p>
    <w:p w:rsidR="006D58CA" w:rsidRPr="007362F4" w:rsidRDefault="006D58CA" w:rsidP="006D58CA">
      <w:pPr>
        <w:pStyle w:val="af1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>ко</w:t>
      </w:r>
      <w:bookmarkStart w:id="0" w:name="_GoBack"/>
      <w:bookmarkEnd w:id="0"/>
      <w:r w:rsidRPr="007362F4">
        <w:rPr>
          <w:rFonts w:ascii="Times New Roman" w:hAnsi="Times New Roman"/>
          <w:sz w:val="24"/>
          <w:szCs w:val="24"/>
        </w:rPr>
        <w:t xml:space="preserve">торый характеризует медленно затухающий колебательный процесс. Соответствующая этой переходной функции подынтегральная функция </w:t>
      </w:r>
      <w:r w:rsidRPr="00C60DF4">
        <w:rPr>
          <w:rFonts w:ascii="Times New Roman" w:hAnsi="Times New Roman"/>
          <w:position w:val="-4"/>
          <w:sz w:val="24"/>
          <w:szCs w:val="24"/>
        </w:rPr>
        <w:object w:dxaOrig="279" w:dyaOrig="340">
          <v:shape id="_x0000_i1063" type="#_x0000_t75" style="width:14.25pt;height:17.25pt" o:ole="">
            <v:imagedata r:id="rId73" o:title=""/>
          </v:shape>
          <o:OLEObject Type="Embed" ProgID="Equation.DSMT4" ShapeID="_x0000_i1063" DrawAspect="Content" ObjectID="_1599986364" r:id="rId74"/>
        </w:object>
      </w:r>
      <w:r>
        <w:rPr>
          <w:rFonts w:ascii="Times New Roman" w:hAnsi="Times New Roman"/>
          <w:sz w:val="24"/>
          <w:szCs w:val="24"/>
        </w:rPr>
        <w:t xml:space="preserve"> -</w:t>
      </w:r>
      <w:r w:rsidRPr="007362F4">
        <w:rPr>
          <w:rFonts w:ascii="Times New Roman" w:hAnsi="Times New Roman"/>
          <w:sz w:val="24"/>
          <w:szCs w:val="24"/>
        </w:rPr>
        <w:t xml:space="preserve"> кривая 1 на рис. 4.25, в; желательное изменение </w:t>
      </w:r>
      <w:r w:rsidRPr="00C60DF4">
        <w:rPr>
          <w:rFonts w:ascii="Times New Roman" w:hAnsi="Times New Roman"/>
          <w:position w:val="-4"/>
          <w:sz w:val="24"/>
          <w:szCs w:val="24"/>
        </w:rPr>
        <w:object w:dxaOrig="279" w:dyaOrig="340">
          <v:shape id="_x0000_i1064" type="#_x0000_t75" style="width:14.25pt;height:17.25pt" o:ole="">
            <v:imagedata r:id="rId75" o:title=""/>
          </v:shape>
          <o:OLEObject Type="Embed" ProgID="Equation.DSMT4" ShapeID="_x0000_i1064" DrawAspect="Content" ObjectID="_1599986365" r:id="rId76"/>
        </w:object>
      </w:r>
      <w:r>
        <w:rPr>
          <w:rFonts w:ascii="Times New Roman" w:hAnsi="Times New Roman"/>
          <w:sz w:val="24"/>
          <w:szCs w:val="24"/>
        </w:rPr>
        <w:t xml:space="preserve"> -</w:t>
      </w:r>
      <w:r w:rsidRPr="007362F4">
        <w:rPr>
          <w:rFonts w:ascii="Times New Roman" w:hAnsi="Times New Roman"/>
          <w:sz w:val="24"/>
          <w:szCs w:val="24"/>
        </w:rPr>
        <w:t xml:space="preserve"> кривая 2. И хотя величина </w:t>
      </w:r>
      <w:r w:rsidRPr="00C60DF4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65" type="#_x0000_t75" style="width:12.75pt;height:18pt" o:ole="">
            <v:imagedata r:id="rId77" o:title=""/>
          </v:shape>
          <o:OLEObject Type="Embed" ProgID="Equation.DSMT4" ShapeID="_x0000_i1065" DrawAspect="Content" ObjectID="_1599986366" r:id="rId78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362F4">
        <w:rPr>
          <w:rFonts w:ascii="Times New Roman" w:hAnsi="Times New Roman"/>
          <w:sz w:val="24"/>
          <w:szCs w:val="24"/>
        </w:rPr>
        <w:t>для колебательного процесса будет меньше, чем для апериодического, соответствующего кривой 2, предпочтение следует отдать апериодическому переходному процессу.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Более объективный результат дают те интегральные оценки, которые учитывают не только изменение функции </w:t>
      </w:r>
      <w:r w:rsidRPr="00C60DF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66" type="#_x0000_t75" style="width:9.75pt;height:9.75pt" o:ole="">
            <v:imagedata r:id="rId79" o:title=""/>
          </v:shape>
          <o:OLEObject Type="Embed" ProgID="Equation.DSMT4" ShapeID="_x0000_i1066" DrawAspect="Content" ObjectID="_1599986367" r:id="rId80"/>
        </w:object>
      </w:r>
      <w:r w:rsidRPr="007362F4">
        <w:rPr>
          <w:rFonts w:ascii="Times New Roman" w:hAnsi="Times New Roman"/>
          <w:sz w:val="24"/>
          <w:szCs w:val="24"/>
        </w:rPr>
        <w:t>, но и ее производных. Если отразить влияние только первой производной на качество регулирования, то интегральная оценка (назовем ее обобщенной интегральной оценкой) примет вид</w:t>
      </w:r>
    </w:p>
    <w:p w:rsidR="006D58CA" w:rsidRDefault="006D58CA" w:rsidP="006D58CA">
      <w:pPr>
        <w:pStyle w:val="MTDisplayEquation"/>
      </w:pPr>
      <w:r>
        <w:lastRenderedPageBreak/>
        <w:tab/>
      </w:r>
      <w:r w:rsidRPr="00C60DF4">
        <w:rPr>
          <w:position w:val="-38"/>
        </w:rPr>
        <w:object w:dxaOrig="2460" w:dyaOrig="880">
          <v:shape id="_x0000_i1067" type="#_x0000_t75" style="width:123pt;height:44.25pt" o:ole="">
            <v:imagedata r:id="rId81" o:title=""/>
          </v:shape>
          <o:OLEObject Type="Embed" ProgID="Equation.DSMT4" ShapeID="_x0000_i1067" DrawAspect="Content" ObjectID="_1599986368" r:id="rId82"/>
        </w:object>
      </w:r>
      <w:r>
        <w:t xml:space="preserve">. </w:t>
      </w:r>
      <w:r>
        <w:tab/>
      </w:r>
      <w:r w:rsidRPr="007362F4">
        <w:t>(4</w:t>
      </w:r>
      <w:r>
        <w:t>.</w:t>
      </w:r>
      <w:r w:rsidRPr="007362F4">
        <w:t>58)</w:t>
      </w:r>
    </w:p>
    <w:p w:rsidR="006D58CA" w:rsidRPr="007362F4" w:rsidRDefault="006D58CA" w:rsidP="006D58CA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7362F4">
        <w:rPr>
          <w:rFonts w:ascii="Times New Roman" w:hAnsi="Times New Roman"/>
          <w:sz w:val="24"/>
          <w:szCs w:val="24"/>
        </w:rPr>
        <w:t xml:space="preserve">Значение интеграла </w:t>
      </w:r>
      <w:r w:rsidRPr="00C60DF4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68" type="#_x0000_t75" style="width:15pt;height:18pt" o:ole="">
            <v:imagedata r:id="rId83" o:title=""/>
          </v:shape>
          <o:OLEObject Type="Embed" ProgID="Equation.DSMT4" ShapeID="_x0000_i1068" DrawAspect="Content" ObjectID="_1599986369" r:id="rId84"/>
        </w:object>
      </w:r>
      <w:r w:rsidRPr="007362F4">
        <w:rPr>
          <w:rFonts w:ascii="Times New Roman" w:hAnsi="Times New Roman"/>
          <w:sz w:val="24"/>
          <w:szCs w:val="24"/>
        </w:rPr>
        <w:t xml:space="preserve"> будет мало в том случае, если не будет длительных отклонений параметра </w:t>
      </w:r>
      <w:r w:rsidRPr="00C60DF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69" type="#_x0000_t75" style="width:9.75pt;height:9.75pt" o:ole="">
            <v:imagedata r:id="rId85" o:title=""/>
          </v:shape>
          <o:OLEObject Type="Embed" ProgID="Equation.DSMT4" ShapeID="_x0000_i1069" DrawAspect="Content" ObjectID="_1599986370" r:id="rId86"/>
        </w:object>
      </w:r>
      <w:r w:rsidRPr="007362F4">
        <w:rPr>
          <w:rFonts w:ascii="Times New Roman" w:hAnsi="Times New Roman"/>
          <w:sz w:val="24"/>
          <w:szCs w:val="24"/>
        </w:rPr>
        <w:t xml:space="preserve"> и не будет длительного существования больших значений производной </w:t>
      </w:r>
      <w:r w:rsidRPr="00C60DF4">
        <w:rPr>
          <w:rFonts w:ascii="Times New Roman" w:hAnsi="Times New Roman"/>
          <w:position w:val="-10"/>
          <w:sz w:val="24"/>
          <w:szCs w:val="24"/>
        </w:rPr>
        <w:object w:dxaOrig="600" w:dyaOrig="340">
          <v:shape id="_x0000_i1070" type="#_x0000_t75" style="width:30pt;height:17.25pt" o:ole="">
            <v:imagedata r:id="rId87" o:title=""/>
          </v:shape>
          <o:OLEObject Type="Embed" ProgID="Equation.DSMT4" ShapeID="_x0000_i1070" DrawAspect="Content" ObjectID="_1599986371" r:id="rId88"/>
        </w:object>
      </w:r>
      <w:r w:rsidRPr="007362F4">
        <w:rPr>
          <w:rFonts w:ascii="Times New Roman" w:hAnsi="Times New Roman"/>
          <w:sz w:val="24"/>
          <w:szCs w:val="24"/>
        </w:rPr>
        <w:t xml:space="preserve">. Коэффициентом </w:t>
      </w:r>
      <w:r w:rsidRPr="00C60DF4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71" type="#_x0000_t75" style="width:9.75pt;height:11.25pt" o:ole="">
            <v:imagedata r:id="rId89" o:title=""/>
          </v:shape>
          <o:OLEObject Type="Embed" ProgID="Equation.DSMT4" ShapeID="_x0000_i1071" DrawAspect="Content" ObjectID="_1599986372" r:id="rId90"/>
        </w:object>
      </w:r>
      <w:r w:rsidRPr="007362F4">
        <w:rPr>
          <w:rFonts w:ascii="Times New Roman" w:hAnsi="Times New Roman"/>
          <w:sz w:val="24"/>
          <w:szCs w:val="24"/>
        </w:rPr>
        <w:t xml:space="preserve"> следует задаться. Он определяет влияние производных в величине интеграла </w:t>
      </w:r>
      <w:r w:rsidRPr="00C60DF4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72" type="#_x0000_t75" style="width:15pt;height:18pt" o:ole="">
            <v:imagedata r:id="rId91" o:title=""/>
          </v:shape>
          <o:OLEObject Type="Embed" ProgID="Equation.DSMT4" ShapeID="_x0000_i1072" DrawAspect="Content" ObjectID="_1599986373" r:id="rId92"/>
        </w:object>
      </w:r>
      <w:r w:rsidRPr="007362F4">
        <w:rPr>
          <w:rFonts w:ascii="Times New Roman" w:hAnsi="Times New Roman"/>
          <w:sz w:val="24"/>
          <w:szCs w:val="24"/>
        </w:rPr>
        <w:t>.</w:t>
      </w:r>
    </w:p>
    <w:p w:rsidR="00FC6797" w:rsidRDefault="00FC6797"/>
    <w:sectPr w:rsidR="00FC6797" w:rsidSect="00605C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6F66"/>
    <w:multiLevelType w:val="hybridMultilevel"/>
    <w:tmpl w:val="A0684A58"/>
    <w:lvl w:ilvl="0" w:tplc="68B69A12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58733B"/>
    <w:multiLevelType w:val="multilevel"/>
    <w:tmpl w:val="F0581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5403C0"/>
    <w:multiLevelType w:val="hybridMultilevel"/>
    <w:tmpl w:val="56DA6952"/>
    <w:lvl w:ilvl="0" w:tplc="474C9512">
      <w:start w:val="1"/>
      <w:numFmt w:val="russianLower"/>
      <w:pStyle w:val="a0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7023C"/>
    <w:multiLevelType w:val="hybridMultilevel"/>
    <w:tmpl w:val="A60CB5B2"/>
    <w:lvl w:ilvl="0" w:tplc="1EC02F5E">
      <w:start w:val="1"/>
      <w:numFmt w:val="bullet"/>
      <w:pStyle w:val="2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40C3163"/>
    <w:multiLevelType w:val="multilevel"/>
    <w:tmpl w:val="C9789340"/>
    <w:lvl w:ilvl="0">
      <w:start w:val="1"/>
      <w:numFmt w:val="decimal"/>
      <w:pStyle w:val="2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pStyle w:val="4"/>
      <w:isLgl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russianUpper"/>
      <w:pStyle w:val="7"/>
      <w:suff w:val="nothing"/>
      <w:lvlText w:val="Приложение %7"/>
      <w:lvlJc w:val="center"/>
      <w:pPr>
        <w:ind w:left="0" w:firstLine="288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1C5D02"/>
    <w:multiLevelType w:val="hybridMultilevel"/>
    <w:tmpl w:val="8D28A62C"/>
    <w:lvl w:ilvl="0" w:tplc="0AFE070A">
      <w:start w:val="1"/>
      <w:numFmt w:val="russianLower"/>
      <w:pStyle w:val="a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A"/>
    <w:rsid w:val="000622A1"/>
    <w:rsid w:val="00107290"/>
    <w:rsid w:val="00232E05"/>
    <w:rsid w:val="002B2986"/>
    <w:rsid w:val="002F2E52"/>
    <w:rsid w:val="00335A1B"/>
    <w:rsid w:val="003F28A7"/>
    <w:rsid w:val="00460A65"/>
    <w:rsid w:val="005C6DD6"/>
    <w:rsid w:val="005E67AB"/>
    <w:rsid w:val="00605C43"/>
    <w:rsid w:val="006519F8"/>
    <w:rsid w:val="0068117B"/>
    <w:rsid w:val="006D58CA"/>
    <w:rsid w:val="006E140C"/>
    <w:rsid w:val="00782DEA"/>
    <w:rsid w:val="0083258D"/>
    <w:rsid w:val="00873EA9"/>
    <w:rsid w:val="008939C4"/>
    <w:rsid w:val="00995551"/>
    <w:rsid w:val="00AC2598"/>
    <w:rsid w:val="00B24ABC"/>
    <w:rsid w:val="00D91BDF"/>
    <w:rsid w:val="00E04083"/>
    <w:rsid w:val="00EA7ED4"/>
    <w:rsid w:val="00FC6797"/>
    <w:rsid w:val="00F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99A1CF-8ECB-4FEB-B70E-5CFBA7D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32E05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5E67AB"/>
    <w:pPr>
      <w:keepNext/>
      <w:tabs>
        <w:tab w:val="left" w:pos="720"/>
      </w:tabs>
      <w:spacing w:after="240" w:line="240" w:lineRule="auto"/>
      <w:jc w:val="center"/>
      <w:outlineLvl w:val="0"/>
    </w:pPr>
    <w:rPr>
      <w:rFonts w:eastAsia="Times New Roman" w:cs="Times New Roman"/>
      <w:b/>
      <w:bCs/>
      <w:kern w:val="32"/>
      <w:szCs w:val="28"/>
      <w:lang w:eastAsia="ru-RU"/>
    </w:rPr>
  </w:style>
  <w:style w:type="paragraph" w:styleId="20">
    <w:name w:val="heading 2"/>
    <w:basedOn w:val="a2"/>
    <w:next w:val="a2"/>
    <w:link w:val="21"/>
    <w:autoRedefine/>
    <w:qFormat/>
    <w:rsid w:val="005E67AB"/>
    <w:pPr>
      <w:keepNext/>
      <w:keepLines/>
      <w:numPr>
        <w:numId w:val="11"/>
      </w:numPr>
      <w:suppressAutoHyphens/>
      <w:spacing w:after="360" w:line="240" w:lineRule="auto"/>
      <w:jc w:val="center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2"/>
    <w:next w:val="a2"/>
    <w:link w:val="30"/>
    <w:autoRedefine/>
    <w:qFormat/>
    <w:rsid w:val="005E67AB"/>
    <w:pPr>
      <w:keepNext/>
      <w:numPr>
        <w:ilvl w:val="1"/>
        <w:numId w:val="11"/>
      </w:numPr>
      <w:suppressAutoHyphens/>
      <w:spacing w:after="240" w:line="240" w:lineRule="auto"/>
      <w:outlineLvl w:val="2"/>
    </w:pPr>
    <w:rPr>
      <w:rFonts w:cs="Times New Roman"/>
      <w:b/>
      <w:bCs/>
      <w:szCs w:val="28"/>
      <w:lang w:eastAsia="ru-RU"/>
    </w:rPr>
  </w:style>
  <w:style w:type="paragraph" w:styleId="4">
    <w:name w:val="heading 4"/>
    <w:basedOn w:val="5"/>
    <w:next w:val="a2"/>
    <w:link w:val="40"/>
    <w:autoRedefine/>
    <w:qFormat/>
    <w:rsid w:val="005E67AB"/>
    <w:pPr>
      <w:numPr>
        <w:ilvl w:val="2"/>
      </w:numPr>
      <w:spacing w:before="0" w:after="240"/>
      <w:outlineLvl w:val="3"/>
    </w:pPr>
  </w:style>
  <w:style w:type="paragraph" w:styleId="5">
    <w:name w:val="heading 5"/>
    <w:basedOn w:val="a2"/>
    <w:next w:val="a2"/>
    <w:link w:val="50"/>
    <w:qFormat/>
    <w:rsid w:val="005E67AB"/>
    <w:pPr>
      <w:numPr>
        <w:ilvl w:val="3"/>
        <w:numId w:val="11"/>
      </w:numPr>
      <w:suppressAutoHyphens/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eastAsia="ru-RU"/>
    </w:rPr>
  </w:style>
  <w:style w:type="paragraph" w:styleId="6">
    <w:name w:val="heading 6"/>
    <w:basedOn w:val="a2"/>
    <w:next w:val="a2"/>
    <w:link w:val="60"/>
    <w:rsid w:val="005E67AB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autoRedefine/>
    <w:qFormat/>
    <w:rsid w:val="005E67AB"/>
    <w:pPr>
      <w:numPr>
        <w:ilvl w:val="6"/>
        <w:numId w:val="11"/>
      </w:numPr>
      <w:spacing w:before="240" w:after="60" w:line="240" w:lineRule="auto"/>
      <w:jc w:val="center"/>
      <w:outlineLvl w:val="6"/>
    </w:pPr>
    <w:rPr>
      <w:rFonts w:eastAsia="Times New Roman" w:cs="Times New Roman"/>
      <w:b/>
      <w:sz w:val="24"/>
      <w:szCs w:val="24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uiPriority w:val="10"/>
    <w:rsid w:val="005E67AB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7">
    <w:name w:val="Заголовок Знак"/>
    <w:link w:val="a6"/>
    <w:uiPriority w:val="10"/>
    <w:rsid w:val="005E67AB"/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10">
    <w:name w:val="Заголовок 1 Знак"/>
    <w:basedOn w:val="a3"/>
    <w:link w:val="1"/>
    <w:rsid w:val="005E67AB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1">
    <w:name w:val="Заголовок 2 Знак"/>
    <w:basedOn w:val="a3"/>
    <w:link w:val="20"/>
    <w:rsid w:val="005E67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5E67AB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3"/>
    <w:link w:val="4"/>
    <w:rsid w:val="005E67A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50">
    <w:name w:val="Заголовок 5 Знак"/>
    <w:basedOn w:val="a3"/>
    <w:link w:val="5"/>
    <w:rsid w:val="005E67A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5E67A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3"/>
    <w:link w:val="7"/>
    <w:rsid w:val="005E67A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8">
    <w:name w:val="TOC Heading"/>
    <w:basedOn w:val="1"/>
    <w:next w:val="a2"/>
    <w:autoRedefine/>
    <w:uiPriority w:val="39"/>
    <w:qFormat/>
    <w:rsid w:val="005E67AB"/>
    <w:pPr>
      <w:keepLines/>
      <w:tabs>
        <w:tab w:val="clear" w:pos="720"/>
      </w:tabs>
      <w:suppressAutoHyphens/>
      <w:spacing w:after="360" w:line="276" w:lineRule="auto"/>
      <w:ind w:right="-24"/>
      <w:outlineLvl w:val="9"/>
    </w:pPr>
    <w:rPr>
      <w:rFonts w:eastAsiaTheme="majorEastAsia" w:cstheme="majorBidi"/>
      <w:caps/>
      <w:kern w:val="0"/>
    </w:rPr>
  </w:style>
  <w:style w:type="paragraph" w:customStyle="1" w:styleId="a9">
    <w:name w:val="Название рисунка"/>
    <w:basedOn w:val="aa"/>
    <w:next w:val="a2"/>
    <w:link w:val="ab"/>
    <w:qFormat/>
    <w:rsid w:val="005E67AB"/>
    <w:pPr>
      <w:spacing w:after="120"/>
      <w:jc w:val="center"/>
    </w:pPr>
    <w:rPr>
      <w:rFonts w:eastAsia="Times New Roman" w:cs="Times New Roman"/>
      <w:bCs/>
      <w:i w:val="0"/>
      <w:iCs w:val="0"/>
      <w:color w:val="auto"/>
      <w:sz w:val="28"/>
      <w:lang w:eastAsia="ru-RU"/>
    </w:rPr>
  </w:style>
  <w:style w:type="character" w:customStyle="1" w:styleId="ab">
    <w:name w:val="Название рисунка Знак"/>
    <w:basedOn w:val="a3"/>
    <w:link w:val="a9"/>
    <w:rsid w:val="005E67AB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styleId="aa">
    <w:name w:val="caption"/>
    <w:basedOn w:val="a2"/>
    <w:next w:val="a2"/>
    <w:uiPriority w:val="35"/>
    <w:semiHidden/>
    <w:unhideWhenUsed/>
    <w:qFormat/>
    <w:rsid w:val="005E6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Название таблицы"/>
    <w:basedOn w:val="aa"/>
    <w:link w:val="ad"/>
    <w:qFormat/>
    <w:rsid w:val="005E67AB"/>
    <w:pPr>
      <w:spacing w:after="0"/>
    </w:pPr>
    <w:rPr>
      <w:rFonts w:eastAsia="Times New Roman" w:cs="Times New Roman"/>
      <w:bCs/>
      <w:i w:val="0"/>
      <w:iCs w:val="0"/>
      <w:color w:val="auto"/>
      <w:sz w:val="28"/>
      <w:lang w:eastAsia="ru-RU"/>
    </w:rPr>
  </w:style>
  <w:style w:type="character" w:customStyle="1" w:styleId="ad">
    <w:name w:val="Название таблицы Знак"/>
    <w:basedOn w:val="a3"/>
    <w:link w:val="ac"/>
    <w:rsid w:val="005E67AB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styleId="a0">
    <w:name w:val="List"/>
    <w:basedOn w:val="a2"/>
    <w:uiPriority w:val="99"/>
    <w:unhideWhenUsed/>
    <w:qFormat/>
    <w:rsid w:val="005E67AB"/>
    <w:pPr>
      <w:numPr>
        <w:numId w:val="6"/>
      </w:numPr>
      <w:tabs>
        <w:tab w:val="left" w:pos="1134"/>
      </w:tabs>
      <w:contextualSpacing/>
    </w:pPr>
    <w:rPr>
      <w:rFonts w:eastAsia="Times New Roman" w:cs="Times New Roman"/>
      <w:szCs w:val="24"/>
      <w:lang w:eastAsia="ru-RU"/>
    </w:rPr>
  </w:style>
  <w:style w:type="paragraph" w:styleId="2">
    <w:name w:val="List 2"/>
    <w:basedOn w:val="a2"/>
    <w:uiPriority w:val="99"/>
    <w:unhideWhenUsed/>
    <w:qFormat/>
    <w:rsid w:val="005E67AB"/>
    <w:pPr>
      <w:numPr>
        <w:numId w:val="7"/>
      </w:numPr>
      <w:tabs>
        <w:tab w:val="left" w:pos="1134"/>
      </w:tabs>
      <w:contextualSpacing/>
    </w:pPr>
    <w:rPr>
      <w:rFonts w:eastAsia="Times New Roman" w:cs="Times New Roman"/>
      <w:szCs w:val="24"/>
      <w:lang w:eastAsia="ru-RU"/>
    </w:rPr>
  </w:style>
  <w:style w:type="paragraph" w:customStyle="1" w:styleId="a1">
    <w:name w:val="Список_буквы"/>
    <w:basedOn w:val="a2"/>
    <w:link w:val="ae"/>
    <w:unhideWhenUsed/>
    <w:rsid w:val="005E67AB"/>
    <w:pPr>
      <w:numPr>
        <w:numId w:val="8"/>
      </w:numPr>
      <w:spacing w:line="360" w:lineRule="auto"/>
      <w:contextualSpacing/>
    </w:pPr>
  </w:style>
  <w:style w:type="character" w:customStyle="1" w:styleId="ae">
    <w:name w:val="Список_буквы Знак"/>
    <w:basedOn w:val="a3"/>
    <w:link w:val="a1"/>
    <w:rsid w:val="005E67AB"/>
    <w:rPr>
      <w:rFonts w:ascii="Times New Roman" w:hAnsi="Times New Roman"/>
      <w:sz w:val="28"/>
    </w:rPr>
  </w:style>
  <w:style w:type="paragraph" w:customStyle="1" w:styleId="a">
    <w:name w:val="Перечень ссылок"/>
    <w:basedOn w:val="af"/>
    <w:link w:val="af0"/>
    <w:qFormat/>
    <w:rsid w:val="008939C4"/>
    <w:pPr>
      <w:numPr>
        <w:numId w:val="12"/>
      </w:numPr>
      <w:suppressAutoHyphens/>
      <w:overflowPunct w:val="0"/>
      <w:autoSpaceDE w:val="0"/>
      <w:autoSpaceDN w:val="0"/>
      <w:adjustRightInd w:val="0"/>
      <w:spacing w:line="240" w:lineRule="auto"/>
      <w:contextualSpacing w:val="0"/>
      <w:textAlignment w:val="baseline"/>
    </w:pPr>
    <w:rPr>
      <w:lang w:eastAsia="ru-RU"/>
    </w:rPr>
  </w:style>
  <w:style w:type="character" w:customStyle="1" w:styleId="af0">
    <w:name w:val="Перечень ссылок Знак"/>
    <w:basedOn w:val="a3"/>
    <w:link w:val="a"/>
    <w:rsid w:val="008939C4"/>
    <w:rPr>
      <w:rFonts w:ascii="Times New Roman" w:hAnsi="Times New Roman"/>
      <w:sz w:val="28"/>
      <w:lang w:eastAsia="ru-RU"/>
    </w:rPr>
  </w:style>
  <w:style w:type="paragraph" w:styleId="af">
    <w:name w:val="List Paragraph"/>
    <w:basedOn w:val="a2"/>
    <w:uiPriority w:val="34"/>
    <w:qFormat/>
    <w:rsid w:val="008939C4"/>
    <w:pPr>
      <w:ind w:left="720"/>
      <w:contextualSpacing/>
    </w:pPr>
  </w:style>
  <w:style w:type="paragraph" w:styleId="af1">
    <w:name w:val="No Spacing"/>
    <w:link w:val="af2"/>
    <w:uiPriority w:val="1"/>
    <w:qFormat/>
    <w:rsid w:val="006D58C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MTDisplayEquation">
    <w:name w:val="MTDisplayEquation"/>
    <w:basedOn w:val="af1"/>
    <w:next w:val="a2"/>
    <w:link w:val="MTDisplayEquation0"/>
    <w:rsid w:val="006D58CA"/>
    <w:pPr>
      <w:tabs>
        <w:tab w:val="center" w:pos="5100"/>
        <w:tab w:val="right" w:pos="10200"/>
      </w:tabs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af2">
    <w:name w:val="Без интервала Знак"/>
    <w:basedOn w:val="a3"/>
    <w:link w:val="af1"/>
    <w:uiPriority w:val="1"/>
    <w:rsid w:val="006D58CA"/>
    <w:rPr>
      <w:rFonts w:ascii="Calibri" w:eastAsia="Calibri" w:hAnsi="Calibri" w:cs="Times New Roman"/>
    </w:rPr>
  </w:style>
  <w:style w:type="character" w:customStyle="1" w:styleId="MTDisplayEquation0">
    <w:name w:val="MTDisplayEquation Знак"/>
    <w:basedOn w:val="af2"/>
    <w:link w:val="MTDisplayEquation"/>
    <w:rsid w:val="006D58CA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image" Target="media/image9.jpeg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jpeg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</cp:revision>
  <dcterms:created xsi:type="dcterms:W3CDTF">2018-10-02T08:51:00Z</dcterms:created>
  <dcterms:modified xsi:type="dcterms:W3CDTF">2018-10-02T08:52:00Z</dcterms:modified>
</cp:coreProperties>
</file>