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URGENT: Legal Notice for Takedown of Deepfake Content (Case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case_id }}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Grievance Officer,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platform_name }}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formal notice regarding a deepfake video detected at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video_url }}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AI Confidence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confidence 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the </w:t>
      </w:r>
      <w:r w:rsidDel="00000000" w:rsidR="00000000" w:rsidRPr="00000000">
        <w:rPr>
          <w:b w:val="1"/>
          <w:bCs w:val="1"/>
          <w:rtl w:val="0"/>
        </w:rPr>
        <w:t xml:space="preserve">IT Amendment Rules 2026</w:t>
      </w:r>
      <w:r w:rsidDel="00000000" w:rsidR="00000000" w:rsidRPr="00000000">
        <w:rPr>
          <w:rtl w:val="0"/>
        </w:rPr>
        <w:t xml:space="preserve">, this content must be removed within </w:t>
      </w:r>
      <w:r w:rsidDel="00000000" w:rsidR="00000000" w:rsidRPr="00000000">
        <w:rPr>
          <w:b w:val="1"/>
          <w:bCs w:val="1"/>
          <w:rtl w:val="0"/>
        </w:rPr>
        <w:t xml:space="preserve">3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