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Regional Sales Report</w:t>
      </w:r>
    </w:p>
    <w:p>
      <w:r>
        <w:t>Prepared for the executive leadership team.</w:t>
      </w:r>
    </w:p>
    <w:p>
      <w:r>
        <w:t>The quarterly results were strong across all regions, with revenue up 12% year-over-year.</w:t>
      </w:r>
    </w:p>
    <w:p>
      <w:r>
        <w:t>Regional breakdowns and the supporting chart are provided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