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Section 1: Overview</w:t>
      </w:r>
    </w:p>
    <w:p>
      <w:r>
        <w:t>This section summarizes the reporting period at a high level.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u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Section 2: Regional Breakdown</w:t>
      </w:r>
    </w:p>
    <w:p>
      <w:r>
        <w:t>This section covers performance broken down by region.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b/>
          <w:sz w:val="32"/>
        </w:rPr>
        <w:t>Section 3: Summary</w:t>
      </w:r>
    </w:p>
    <w:p>
      <w:r>
        <w:t>This section closes with overall conclusions and next steps.</w:t>
      </w:r>
    </w:p>
    <w:p>
      <w:r>
        <w:drawing>
          <wp:inline xmlns:a="http://schemas.openxmlformats.org/drawingml/2006/main" xmlns:pic="http://schemas.openxmlformats.org/drawingml/2006/picture">
            <wp:extent cx="1828800" cy="1828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e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