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ink/ink1.xml" ContentType="application/inkml+xml"/>
  <Override PartName="/word/ink/ink2.xml" ContentType="application/inkml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"/>
        <w:jc w:val="left"/>
        <w:rPr>
          <w:sz w:val="56"/>
          <w:szCs w:val="56"/>
        </w:rPr>
      </w:pPr>
      <w:r>
        <w:rPr>
          <w:sz w:val="56"/>
          <w:szCs w:val="56"/>
        </w:rPr>
        <w:t>Project Overview&amp;Strategy</w:t>
      </w:r>
    </w:p>
    <w:p>
      <w:pPr>
        <w:pStyle w:val="2"/>
        <w:jc w:val="left"/>
        <w:rPr>
          <w:sz w:val="56"/>
          <w:szCs w:val="56"/>
        </w:rPr>
      </w:pPr>
      <w:r>
        <w:rPr>
          <w:sz w:val="56"/>
          <w:szCs w:val="56"/>
        </w:rPr>
        <w:t>1.1 Project Title</w:t>
      </w:r>
    </w:p>
    <w:p>
      <w:pPr>
        <w:pStyle w:val="2"/>
        <w:jc w:val="left"/>
        <w:rPr>
          <w:sz w:val="56"/>
          <w:szCs w:val="56"/>
        </w:rPr>
      </w:pPr>
      <w:r>
        <w:rPr>
          <w:b/>
          <w:bCs/>
        </w:rPr>
        <w:t>High-Fidelity Food Delivery Interface (Zomato-Inspired)</w:t>
      </w:r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1.2 Objective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The goal of this project was to develop a high-fidelity mobile prototype that focuses on a streamlined "3-tap" ordering process. By reducing the number of steps between food discovery and order confirmation, the interface aims to increase user conversion rates.</w:t>
      </w:r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1.3 Problem Statement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Current food delivery platforms often suffer from "choice paralysis" due to cluttered layouts. This design solves that by using a minimalist, card-based system that highlights a single "Deal of the Day" per category to help users make faster decisions.</w:t>
      </w:r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1.4 Target Audience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Mobile-First Users: Optimized for one-handed operation.</w:t>
      </w:r>
    </w:p>
    <w:p>
      <w:pPr>
        <w:rPr>
          <w:sz w:val="32"/>
          <w:szCs w:val="32"/>
        </w:rPr>
      </w:pPr>
      <w:r>
        <w:rPr>
          <w:sz w:val="32"/>
          <w:szCs w:val="32"/>
        </w:rPr>
        <w:t>Dark Mode Enthusiasts: Designed to reduce eye strain during late-night usage.</w:t>
      </w:r>
    </w:p>
    <w:p>
      <w:pPr>
        <w:rPr>
          <w:sz w:val="32"/>
          <w:szCs w:val="32"/>
        </w:rPr>
      </w:pPr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Design Specifications&amp;Systems</w:t>
      </w:r>
    </w:p>
    <w:p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2.1 Color Palette</w:t>
      </w:r>
    </w:p>
    <w:p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Action Color: Vivid Red (#FF3131). Used specifically for the "Order Now" Call-to-Action (CTA) to create urgency and appetite stimulation.</w:t>
      </w:r>
    </w:p>
    <w:p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Primary Background: Deep Black (#000000). Provides a high-contrast backdrop that makes the food colors more vibrant and professional.</w:t>
      </w:r>
    </w:p>
    <w:p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Feedback States: A tan/wood-polish transition is utilized for active button states, giving the user immediate visual confirmation of their click.</w:t>
      </w:r>
    </w:p>
    <w:p>
      <w:pPr>
        <w:spacing w:line="840" w:lineRule="auto"/>
        <w:ind w:left="420" w:firstLine="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2.2</w:t>
      </w:r>
      <w:r>
        <w:rPr>
          <w:b/>
          <w:bCs/>
          <w:sz w:val="56"/>
          <w:szCs w:val="56"/>
        </w:rPr>
        <mc:AlternateContent>
          <mc:Choice Requires="wps">
            <w:drawing>
              <wp:anchor distT="0" distB="0" distL="85723" distR="85723" simplePos="0" relativeHeight="12" behindDoc="0" locked="0" layoutInCell="1" hidden="0" allowOverlap="1">
                <wp:simplePos x="0" y="0"/>
                <wp:positionH relativeFrom="character">
                  <wp:posOffset>-50100</wp:posOffset>
                </wp:positionH>
                <wp:positionV relativeFrom="line">
                  <wp:posOffset>280984</wp:posOffset>
                </wp:positionV>
                <wp:extent cx="45400" cy="45399"/>
                <wp:effectExtent l="0" t="0" r="0" b="0"/>
                <wp:wrapNone/>
                <wp:docPr id="1" name="Object 1"/>
                <wp:cNvGraphicFramePr>
                  <a:graphicFrameLocks noChangeAspect="0" noSelect="1"/>
                </wp:cNvGraphicFramePr>
                <a:graphic>
                  <a:graphicData uri="http://schemas.microsoft.com/office/word/2010/wordprocessingInk">
                    <w14:contentPart bwMode="auto" r:id="rId2">
                      <w14:nvContentPartPr>
                        <w14:cNvContentPartPr/>
                      </w14:nvContentPartPr>
                      <w14:xfrm>
                        <a:off x="0" y="0"/>
                        <a:ext cx="45400" cy="4539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type="#_x0000_t75" id="Object 2" o:spid="_x0000_s2" fillcolor="#FFFFFF" stroked="t" strokeweight="1.0pt" style="position:absolute;&#10;margin-left:-3.944882pt;&#10;margin-top:22.124725pt;&#10;width:3.574803pt;&#10;height:3.5747252pt;&#10;z-index:12;&#10;mso-position-horizontal:absolute;&#10;mso-position-horizontal-relative:char;&#10;mso-position-vertical:absolute;&#10;mso-position-vertical-relative:line;&#10;mso-wrap-distance-left:6.7498426pt;&#10;mso-wrap-distance-right:6.7498426pt;">
                <v:stroke color="#000000"/>
                <v:imagedata r:id="rId3"/>
                <o:lock selection="t"/>
              </v:shape>
            </w:pict>
          </mc:Fallback>
        </mc:AlternateContent>
      </w:r>
      <w:r>
        <w:rPr>
          <w:b/>
          <w:bCs/>
          <w:sz w:val="56"/>
          <w:szCs w:val="56"/>
        </w:rPr>
        <w:t xml:space="preserve"> Ty</w:t>
      </w:r>
      <w:r>
        <w:rPr>
          <w:b/>
          <w:bCs/>
          <w:sz w:val="56"/>
          <w:szCs w:val="56"/>
        </w:rPr>
        <mc:AlternateContent>
          <mc:Choice Requires="wps">
            <w:drawing>
              <wp:anchor distT="0" distB="0" distL="85723" distR="85723" simplePos="0" relativeHeight="11" behindDoc="0" locked="0" layoutInCell="1" hidden="0" allowOverlap="1">
                <wp:simplePos x="0" y="0"/>
                <wp:positionH relativeFrom="character">
                  <wp:posOffset>-107898</wp:posOffset>
                </wp:positionH>
                <wp:positionV relativeFrom="line">
                  <wp:posOffset>242407</wp:posOffset>
                </wp:positionV>
                <wp:extent cx="62959" cy="39348"/>
                <wp:effectExtent l="0" t="0" r="0" b="0"/>
                <wp:wrapNone/>
                <wp:docPr id="4" name="Object 4"/>
                <wp:cNvGraphicFramePr>
                  <a:graphicFrameLocks noChangeAspect="0" noSelect="1"/>
                </wp:cNvGraphicFramePr>
                <a:graphic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62959" cy="39348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type="#_x0000_t75" id="Object 5" o:spid="_x0000_s5" fillcolor="#FFFFFF" stroked="t" strokeweight="1.0pt" style="position:absolute;&#10;margin-left:-8.495906pt;&#10;margin-top:19.087166pt;&#10;width:4.9574018pt;&#10;height:3.0982676pt;&#10;z-index:11;&#10;mso-position-horizontal:absolute;&#10;mso-position-horizontal-relative:char;&#10;mso-position-vertical:absolute;&#10;mso-position-vertical-relative:line;&#10;mso-wrap-distance-left:6.7498426pt;&#10;mso-wrap-distance-right:6.7498426pt;">
                <v:stroke color="#000000"/>
                <v:imagedata r:id="rId5"/>
                <o:lock selection="t"/>
              </v:shape>
            </w:pict>
          </mc:Fallback>
        </mc:AlternateContent>
      </w:r>
      <w:r>
        <w:rPr>
          <w:b/>
          <w:bCs/>
          <w:sz w:val="56"/>
          <w:szCs w:val="56"/>
        </w:rPr>
        <w:t>pography</w:t>
      </w:r>
    </w:p>
    <w:p>
      <w:pPr>
        <w:ind w:left="420" w:firstLine="0"/>
        <w:rPr>
          <w:sz w:val="32"/>
          <w:szCs w:val="32"/>
        </w:rPr>
      </w:pPr>
      <w:r>
        <w:rPr>
          <w:sz w:val="32"/>
          <w:szCs w:val="32"/>
        </w:rPr>
        <w:t>Headings: Bold Sans-Serif (e.g., Poppins/Roboto) for food names and prices to ensure clear readability.</w:t>
      </w:r>
    </w:p>
    <w:p>
      <w:pPr>
        <w:ind w:left="420" w:firstLine="0"/>
        <w:rPr>
          <w:sz w:val="32"/>
          <w:szCs w:val="32"/>
        </w:rPr>
      </w:pPr>
      <w:r>
        <w:rPr>
          <w:sz w:val="32"/>
          <w:szCs w:val="32"/>
        </w:rPr>
        <w:t>Body: Medium-weight font for descriptors like "Buy 1 Get 1 Free" to maintain a clean visual hierarchy.</w:t>
      </w:r>
    </w:p>
    <w:p>
      <w:pPr>
        <w:ind w:left="420" w:firstLine="0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2.3 Component Design</w:t>
      </w:r>
    </w:p>
    <w:p>
      <w:pPr>
        <w:ind w:left="420" w:firstLine="0"/>
        <w:rPr>
          <w:sz w:val="32"/>
          <w:szCs w:val="32"/>
        </w:rPr>
      </w:pPr>
      <w:r>
        <w:rPr>
          <w:sz w:val="32"/>
          <w:szCs w:val="32"/>
        </w:rPr>
        <w:t>Interactive Cards: Each food item is housed in a high-contrast container with an integrated "Order Now" button and a shopping cart icon.</w:t>
      </w:r>
    </w:p>
    <w:p>
      <w:pPr>
        <w:ind w:left="420" w:firstLine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Technical Workflow&amp;Prototype Logic</w:t>
      </w:r>
    </w:p>
    <w:p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3.1 Prototype Navigation Flow</w:t>
      </w:r>
    </w:p>
    <w:p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The prototype is designed with a linear, logical flow to ensure a smooth user experience:</w:t>
      </w:r>
    </w:p>
    <w:p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Menu Browsing: The user navigates the high-fidelity images of the Pizza, Ramen, and Biryani sections.</w:t>
      </w:r>
    </w:p>
    <w:p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3.  Conversion Point: The user clicks the "Order Now" button on their chosen item.</w:t>
      </w:r>
    </w:p>
    <w:p>
      <w:pPr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Completion State: The system redirects the user to the "Order Confirmed" success screen, providing immediate feedback that the transaction was successful.</w:t>
      </w:r>
    </w:p>
    <w:p>
      <w:pPr>
        <w:ind w:left="0" w:firstLine="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3.2 Implementation&amp;Deployment</w:t>
      </w:r>
    </w:p>
    <w:p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The prototype has been moved beyond a static design file and is hosted as a live, responsive web application. This approach ensures that the project can be tested in a real-world browser environment, simulating the exact behavior of a production-ready mobile app.</w:t>
      </w:r>
    </w:p>
    <w:p>
      <w:pPr>
        <w:ind w:left="0" w:firstLine="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3.3 Interactive Prototype Link</w:t>
      </w:r>
    </w:p>
    <w:p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>The clickable flow of the final application can be accessed via the following live URL:</w:t>
      </w:r>
    </w:p>
    <w:p>
      <w:pPr>
        <w:ind w:left="0" w:firstLine="0"/>
        <w:rPr>
          <w:sz w:val="32"/>
          <w:szCs w:val="32"/>
        </w:rPr>
      </w:pPr>
      <w:r>
        <w:rPr>
          <w:rStyle w:val="17"/>
          <w:sz w:val="32"/>
          <w:szCs w:val="32"/>
        </w:rPr>
        <w:fldChar w:fldCharType="begin"/>
      </w:r>
      <w:r>
        <w:instrText>HYPERLINK "https://canva.link/gqfnzlr5rw1pxsa"</w:instrText>
      </w:r>
      <w:r>
        <w:rPr>
          <w:rStyle w:val="17"/>
          <w:sz w:val="32"/>
          <w:szCs w:val="32"/>
        </w:rPr>
        <w:fldChar w:fldCharType="separate"/>
      </w:r>
      <w:bookmarkStart w:id="0" w:name="_GoBack"/>
      <w:bookmarkEnd w:id="0"/>
      <w:r>
        <w:rPr>
          <w:rStyle w:val="17"/>
          <w:sz w:val="32"/>
          <w:szCs w:val="32"/>
        </w:rPr>
        <w:t>click here for order</w:t>
      </w:r>
      <w:r>
        <w:rPr>
          <w:rStyle w:val="17"/>
          <w:sz w:val="32"/>
          <w:szCs w:val="32"/>
        </w:rPr>
        <w:fldChar w:fldCharType="end"/>
      </w:r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■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■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■"/>
      <w:lvlJc w:val="left"/>
      <w:pPr>
        <w:tabs>
          <w:tab w:val="num" w:pos="420"/>
        </w:tabs>
        <w:ind w:left="420" w:hanging="420"/>
      </w:pPr>
      <w:rPr>
        <w:rFonts w:ascii="Droid Sans" w:hAnsi="Droid Sans" w:eastAsia="Droid Sans" w:hint="default"/>
      </w:rPr>
    </w:lvl>
    <w:lvl w:ilvl="1">
      <w:start w:val="1"/>
      <w:numFmt w:val="bullet"/>
      <w:lvlRestart w:val="0"/>
      <w:lvlText w:val="■"/>
      <w:lvlJc w:val="left"/>
      <w:pPr>
        <w:tabs>
          <w:tab w:val="num" w:pos="840"/>
        </w:tabs>
        <w:ind w:left="840" w:hanging="420"/>
      </w:pPr>
      <w:rPr>
        <w:rFonts w:ascii="Droid Sans" w:hAnsi="Droid Sans" w:eastAsia="Droid Sans" w:hint="default"/>
      </w:rPr>
    </w:lvl>
    <w:lvl w:ilvl="2">
      <w:start w:val="1"/>
      <w:numFmt w:val="bullet"/>
      <w:lvlRestart w:val="0"/>
      <w:lvlText w:val="◆"/>
      <w:lvlJc w:val="left"/>
      <w:pPr>
        <w:tabs>
          <w:tab w:val="num" w:pos="1260"/>
        </w:tabs>
        <w:ind w:left="1260" w:hanging="420"/>
      </w:pPr>
      <w:rPr>
        <w:rFonts w:ascii="Droid Sans" w:hAnsi="Droid Sans" w:eastAsia="Droid Sans" w:hint="default"/>
      </w:rPr>
    </w:lvl>
    <w:lvl w:ilvl="3">
      <w:start w:val="1"/>
      <w:numFmt w:val="bullet"/>
      <w:lvlRestart w:val="0"/>
      <w:lvlText w:val="●"/>
      <w:lvlJc w:val="left"/>
      <w:pPr>
        <w:tabs>
          <w:tab w:val="num" w:pos="1680"/>
        </w:tabs>
        <w:ind w:left="1680" w:hanging="420"/>
      </w:pPr>
      <w:rPr>
        <w:rFonts w:ascii="Droid Sans" w:hAnsi="Droid Sans" w:eastAsia="Droid Sans" w:hint="default"/>
      </w:rPr>
    </w:lvl>
    <w:lvl w:ilvl="4">
      <w:start w:val="1"/>
      <w:numFmt w:val="bullet"/>
      <w:lvlRestart w:val="0"/>
      <w:lvlText w:val="■"/>
      <w:lvlJc w:val="left"/>
      <w:pPr>
        <w:tabs>
          <w:tab w:val="num" w:pos="2100"/>
        </w:tabs>
        <w:ind w:left="2100" w:hanging="420"/>
      </w:pPr>
      <w:rPr>
        <w:rFonts w:ascii="Droid Sans" w:hAnsi="Droid Sans" w:eastAsia="Droid Sans" w:hint="default"/>
      </w:rPr>
    </w:lvl>
    <w:lvl w:ilvl="5">
      <w:start w:val="1"/>
      <w:numFmt w:val="bullet"/>
      <w:lvlRestart w:val="0"/>
      <w:lvlText w:val="◆"/>
      <w:lvlJc w:val="left"/>
      <w:pPr>
        <w:tabs>
          <w:tab w:val="num" w:pos="2520"/>
        </w:tabs>
        <w:ind w:left="2520" w:hanging="420"/>
      </w:pPr>
      <w:rPr>
        <w:rFonts w:ascii="Droid Sans" w:hAnsi="Droid Sans" w:eastAsia="Droid Sans" w:hint="default"/>
      </w:rPr>
    </w:lvl>
    <w:lvl w:ilvl="6">
      <w:start w:val="1"/>
      <w:numFmt w:val="bullet"/>
      <w:lvlRestart w:val="0"/>
      <w:lvlText w:val="●"/>
      <w:lvlJc w:val="left"/>
      <w:pPr>
        <w:tabs>
          <w:tab w:val="num" w:pos="2940"/>
        </w:tabs>
        <w:ind w:left="2940" w:hanging="420"/>
      </w:pPr>
      <w:rPr>
        <w:rFonts w:ascii="Droid Sans" w:hAnsi="Droid Sans" w:eastAsia="Droid Sans" w:hint="default"/>
      </w:rPr>
    </w:lvl>
    <w:lvl w:ilvl="7">
      <w:start w:val="1"/>
      <w:numFmt w:val="bullet"/>
      <w:lvlRestart w:val="0"/>
      <w:lvlText w:val="■"/>
      <w:lvlJc w:val="left"/>
      <w:pPr>
        <w:tabs>
          <w:tab w:val="num" w:pos="3360"/>
        </w:tabs>
        <w:ind w:left="3360" w:hanging="420"/>
      </w:pPr>
      <w:rPr>
        <w:rFonts w:ascii="Droid Sans" w:hAnsi="Droid Sans" w:eastAsia="Droid Sans" w:hint="default"/>
      </w:rPr>
    </w:lvl>
    <w:lvl w:ilvl="8">
      <w:start w:val="1"/>
      <w:numFmt w:val="bullet"/>
      <w:lvlRestart w:val="0"/>
      <w:lvlText w:val="◆"/>
      <w:lvlJc w:val="left"/>
      <w:pPr>
        <w:tabs>
          <w:tab w:val="num" w:pos="3780"/>
        </w:tabs>
        <w:ind w:left="3780" w:hanging="420"/>
      </w:pPr>
      <w:rPr>
        <w:rFonts w:ascii="Droid Sans" w:hAnsi="Droid Sans" w:eastAsia="Droid Sans" w:hint="default"/>
      </w:rPr>
    </w:lvl>
  </w:abstractNum>
  <w:abstractNum w:abstractNumId="3">
    <w:multiLevelType w:val="hybridMultilevel"/>
    <w:tmpl w:val="00000000"/>
    <w:lvl w:ilvl="0">
      <w:start w:val="1"/>
      <w:numFmt w:val="decimal"/>
      <w:lvlRestart w:val="0"/>
      <w:lvlText w:val="%1."/>
      <w:lvlJc w:val="left"/>
      <w:pPr>
        <w:tabs>
          <w:tab w:val="num" w:pos="420"/>
        </w:tabs>
        <w:ind w:left="0" w:hanging="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widowControl w:val="0"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widowControl w:val="0"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widowControl w:val="0"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  <w:style w:type="character" w:styleId="17">
    <w:name w:val="Hyperlink"/>
    <w:basedOn w:val="10"/>
    <w:rPr>
      <w:color w:val="0000FF"/>
      <w:u w:val="single"/>
    </w:rPr>
  </w:style>
  <w:style w:type="paragraph" w:styleId="18">
    <w:name w:val="Normal (Web)"/>
    <w:pPr>
      <w:widowControl w:val="0"/>
      <w:spacing w:before="100" w:beforeAutospacing="1" w:after="100" w:afterAutospacing="1" w:line="240" w:lineRule="auto"/>
      <w:jc w:val="left"/>
    </w:pPr>
    <w:rPr>
      <w:rFonts w:ascii="宋体" w:eastAsia="宋体" w:cs="Times New Roman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customXml" Target="ink/ink1.xml"/><Relationship Id="rId3" Type="http://schemas.openxmlformats.org/officeDocument/2006/relationships/image" Target="media/3.png"/><Relationship Id="rId4" Type="http://schemas.openxmlformats.org/officeDocument/2006/relationships/customXml" Target="ink/ink2.xml"/><Relationship Id="rId5" Type="http://schemas.openxmlformats.org/officeDocument/2006/relationships/image" Target="media/6.png"/><Relationship Id="rId6" Type="http://schemas.openxmlformats.org/officeDocument/2006/relationships/styles" Target="styles.xml"/><Relationship Id="rId7" Type="http://schemas.openxmlformats.org/officeDocument/2006/relationships/numbering" Target="numbering.xml"/><Relationship Id="rId8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5-01T14:10:12"/>
    </inkml:context>
    <inkml:brush xml:id="br0">
      <inkml:brushProperty name="width" value="0.07054674" units="cm"/>
      <inkml:brushProperty name="height" value="0.07054674" units="cm"/>
      <inkml:brushProperty name="fitToCurve" value="1"/>
      <inkml:brushProperty name="color" value="#000000"/>
    </inkml:brush>
  </inkml:definitions>
  <inkml:annotation type="path"> 0 0 1, 74 74 1, 134 134 1</inkml:annotation>
  <inkml:annotation type="data">ACIcA4CABAAAAAAAHQImJgMERWlIEREI+l9BCgcDgnqggnqg
</inkml:annotation>
  <inkml:annotation type="types">AAEB
</inkml:annotation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1023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1" units="1/dev"/>
        </inkml:channelProperties>
      </inkml:inkSource>
      <inkml:timestamp xml:id="ts0" timeString="2026-05-01T14:10:12"/>
    </inkml:context>
    <inkml:brush xml:id="br0">
      <inkml:brushProperty name="width" value="0.1057656" units="cm"/>
      <inkml:brushProperty name="height" value="0.1057656" units="cm"/>
      <inkml:brushProperty name="fitToCurve" value="1"/>
      <inkml:brushProperty name="color" value="#000000"/>
    </inkml:brush>
  </inkml:definitions>
  <inkml:trace contextRef="#ctx0" brushRef="#br0"> 6 4 1023, 12 5 204,</inkml:trace>
  <inkml:annotation type="path"> 0 44 1, 89 59 1, 179 74 1</inkml:annotation>
  <inkml:annotation type="data">ACwcA4CABAAAAAAAHQIqIAMERWlIEQUBOBEI+l9BCg4DgnwAguaAgn8NxfxqSA==
</inkml:annotation>
  <inkml:annotation type="types">AAEB
</inkml:annotation>
</inkml:ink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379</Words>
  <Characters>2215</Characters>
  <Lines>58</Lines>
  <Paragraphs>31</Paragraphs>
  <CharactersWithSpaces>2564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2026-05-01T06:10:12Z</dcterms:modified>
</cp:coreProperties>
</file>