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4</w:t>
      </w:r>
    </w:p>
    <w:p>
      <w:pPr>
        <w:pStyle w:val="Title"/>
        <w:jc w:val="center"/>
      </w:pPr>
      <w:r>
        <w:t>Predictive Modeling and Optimization</w:t>
        <w:br/>
        <w:t>in Logistics Systems</w:t>
      </w:r>
    </w:p>
    <w:p>
      <w:pPr>
        <w:jc w:val="center"/>
      </w:pPr>
      <w:r>
        <w:rPr>
          <w:b/>
          <w:sz w:val="26"/>
        </w:rPr>
        <w:t>Logistics Data Analyst Internship</w:t>
      </w:r>
    </w:p>
    <w:p>
      <w:pPr>
        <w:jc w:val="center"/>
      </w:pPr>
      <w:r>
        <w:rPr>
          <w:sz w:val="22"/>
        </w:rPr>
        <w:br/>
        <w:t>Forecasting Delivery Time using Machine Learning</w:t>
        <w:br/>
        <w:t>and deriving operational optimization recommendations</w:t>
      </w:r>
    </w:p>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sz w:val="19"/>
              </w:rPr>
              <w:t>Dataset</w:t>
            </w:r>
          </w:p>
        </w:tc>
        <w:tc>
          <w:tcPr>
            <w:tcW w:type="dxa" w:w="5040"/>
            <w:vAlign w:val="center"/>
          </w:tcPr>
          <w:p>
            <w:r>
              <w:rPr>
                <w:sz w:val="19"/>
              </w:rPr>
              <w:t>Brazilian E-Commerce / Olist logistics dataset</w:t>
            </w:r>
          </w:p>
        </w:tc>
      </w:tr>
      <w:tr>
        <w:tc>
          <w:tcPr>
            <w:tcW w:type="dxa" w:w="5040"/>
            <w:shd w:fill="D9EAF7"/>
            <w:vAlign w:val="center"/>
          </w:tcPr>
          <w:p>
            <w:r>
              <w:rPr>
                <w:sz w:val="19"/>
              </w:rPr>
              <w:t>Prediction Target</w:t>
            </w:r>
          </w:p>
        </w:tc>
        <w:tc>
          <w:tcPr>
            <w:tcW w:type="dxa" w:w="5040"/>
            <w:vAlign w:val="center"/>
          </w:tcPr>
          <w:p>
            <w:r>
              <w:rPr>
                <w:sz w:val="19"/>
              </w:rPr>
              <w:t>Delivery time in days</w:t>
            </w:r>
          </w:p>
        </w:tc>
      </w:tr>
      <w:tr>
        <w:tc>
          <w:tcPr>
            <w:tcW w:type="dxa" w:w="5040"/>
            <w:shd w:fill="D9EAF7"/>
            <w:vAlign w:val="center"/>
          </w:tcPr>
          <w:p>
            <w:r>
              <w:rPr>
                <w:sz w:val="19"/>
              </w:rPr>
              <w:t>Models</w:t>
            </w:r>
          </w:p>
        </w:tc>
        <w:tc>
          <w:tcPr>
            <w:tcW w:type="dxa" w:w="5040"/>
            <w:vAlign w:val="center"/>
          </w:tcPr>
          <w:p>
            <w:r>
              <w:rPr>
                <w:sz w:val="19"/>
              </w:rPr>
              <w:t>Linear Regression, Decision Tree, Random Forest</w:t>
            </w:r>
          </w:p>
        </w:tc>
      </w:tr>
      <w:tr>
        <w:tc>
          <w:tcPr>
            <w:tcW w:type="dxa" w:w="5040"/>
            <w:shd w:fill="D9EAF7"/>
            <w:vAlign w:val="center"/>
          </w:tcPr>
          <w:p>
            <w:r>
              <w:rPr>
                <w:sz w:val="19"/>
              </w:rPr>
              <w:t>Primary Model</w:t>
            </w:r>
          </w:p>
        </w:tc>
        <w:tc>
          <w:tcPr>
            <w:tcW w:type="dxa" w:w="5040"/>
            <w:vAlign w:val="center"/>
          </w:tcPr>
          <w:p>
            <w:r>
              <w:rPr>
                <w:sz w:val="19"/>
              </w:rPr>
              <w:t>Random Forest Regressor</w:t>
            </w:r>
          </w:p>
        </w:tc>
      </w:tr>
    </w:tbl>
    <w:p/>
    <w:p>
      <w:pPr>
        <w:jc w:val="center"/>
      </w:pPr>
      <w:r>
        <w:rPr>
          <w:i/>
          <w:sz w:val="18"/>
        </w:rPr>
        <w:t>Prepared from the completed Google Colab Task 4 analysis</w:t>
      </w:r>
    </w:p>
    <w:p>
      <w:r>
        <w:br w:type="page"/>
      </w:r>
    </w:p>
    <w:p>
      <w:pPr>
        <w:pStyle w:val="Heading1"/>
      </w:pPr>
      <w:r>
        <w:t>1. Objective</w:t>
      </w:r>
    </w:p>
    <w:p>
      <w:r>
        <w:t>The objective of Week 4 is to apply predictive modeling techniques to a logistics problem and use the model outputs to support operational optimization. In this task, delivery time is treated as the key logistics metric to forecast. Historical order, price, freight and purchase-time information is transformed into machine-learning features.</w:t>
      </w:r>
    </w:p>
    <w:p>
      <w:r>
        <w:t>The analysis compares three regression approaches, evaluates them using MAE, RMSE and R², identifies the most influential features, predicts delivery time for a hypothetical order, and identifies potentially high-risk orders that may require operational attention.</w:t>
      </w:r>
    </w:p>
    <w:p>
      <w:pPr>
        <w:pStyle w:val="Heading1"/>
      </w:pPr>
      <w:r>
        <w:t>2. Problem Definition</w:t>
      </w:r>
    </w:p>
    <w:p>
      <w:r>
        <w:t>Logistics companies need reliable estimates of how long an order will take to reach the customer. Large variations in delivery time can affect customer satisfaction, transportation planning, resource allocation and delivery commitments.</w:t>
      </w:r>
    </w:p>
    <w:p>
      <w:r>
        <w:t>The prediction problem is therefore formulated as a supervised regression problem:</w:t>
      </w:r>
    </w:p>
    <w:p>
      <w:r>
        <w:rPr>
          <w:b/>
        </w:rPr>
        <w:t xml:space="preserve">Target variable: </w:t>
      </w:r>
      <w:r>
        <w:t>delivery_days</w:t>
      </w:r>
    </w:p>
    <w:p>
      <w:r>
        <w:rPr>
          <w:b/>
        </w:rPr>
        <w:t xml:space="preserve">Target definition: </w:t>
      </w:r>
      <w:r>
        <w:t>the number of days between the order purchase timestamp and the customer delivery timestamp.</w:t>
      </w:r>
    </w:p>
    <w:p>
      <w:pPr>
        <w:pStyle w:val="Heading1"/>
      </w:pPr>
      <w:r>
        <w:t>3. Dataset and Data Preparation</w:t>
      </w:r>
    </w:p>
    <w:p>
      <w:r>
        <w:t>The analysis uses the Olist order and order-item datasets already used in the earlier logistics tasks. The order dataset contains approximately 99,441 orders, while the order-item dataset contains 112,650 item-level records.</w:t>
      </w:r>
    </w:p>
    <w:p>
      <w:r>
        <w:t>The order-item data was aggregated at order level and merged with the order table. Price and freight values were converted to numeric values, and date fields were converted to datetime format.</w:t>
      </w:r>
    </w:p>
    <w:p>
      <w:pPr>
        <w:pStyle w:val="Heading2"/>
      </w:pPr>
      <w:r>
        <w:t>3.1 Feature Engineering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Feature</w:t>
            </w:r>
          </w:p>
        </w:tc>
        <w:tc>
          <w:tcPr>
            <w:tcW w:type="dxa" w:w="5040"/>
            <w:shd w:fill="D9EAF7"/>
          </w:tcPr>
          <w:p>
            <w:r>
              <w:t>Description</w:t>
            </w:r>
          </w:p>
        </w:tc>
      </w:tr>
      <w:tr>
        <w:tc>
          <w:tcPr>
            <w:tcW w:type="dxa" w:w="5040"/>
            <w:vAlign w:val="center"/>
          </w:tcPr>
          <w:p>
            <w:r>
              <w:t>total_price</w:t>
            </w:r>
          </w:p>
        </w:tc>
        <w:tc>
          <w:tcPr>
            <w:tcW w:type="dxa" w:w="5040"/>
            <w:vAlign w:val="center"/>
          </w:tcPr>
          <w:p>
            <w:r>
              <w:t>Total price of items in the order</w:t>
            </w:r>
          </w:p>
        </w:tc>
      </w:tr>
      <w:tr>
        <w:tc>
          <w:tcPr>
            <w:tcW w:type="dxa" w:w="5040"/>
            <w:vAlign w:val="center"/>
          </w:tcPr>
          <w:p>
            <w:r>
              <w:t>total_freight</w:t>
            </w:r>
          </w:p>
        </w:tc>
        <w:tc>
          <w:tcPr>
            <w:tcW w:type="dxa" w:w="5040"/>
            <w:vAlign w:val="center"/>
          </w:tcPr>
          <w:p>
            <w:r>
              <w:t>Total freight value associated with the order</w:t>
            </w:r>
          </w:p>
        </w:tc>
      </w:tr>
      <w:tr>
        <w:tc>
          <w:tcPr>
            <w:tcW w:type="dxa" w:w="5040"/>
            <w:vAlign w:val="center"/>
          </w:tcPr>
          <w:p>
            <w:r>
              <w:t>number_of_items</w:t>
            </w:r>
          </w:p>
        </w:tc>
        <w:tc>
          <w:tcPr>
            <w:tcW w:type="dxa" w:w="5040"/>
            <w:vAlign w:val="center"/>
          </w:tcPr>
          <w:p>
            <w:r>
              <w:t>Number of items in the order</w:t>
            </w:r>
          </w:p>
        </w:tc>
      </w:tr>
      <w:tr>
        <w:tc>
          <w:tcPr>
            <w:tcW w:type="dxa" w:w="5040"/>
            <w:vAlign w:val="center"/>
          </w:tcPr>
          <w:p>
            <w:r>
              <w:t>purchase_hour</w:t>
            </w:r>
          </w:p>
        </w:tc>
        <w:tc>
          <w:tcPr>
            <w:tcW w:type="dxa" w:w="5040"/>
            <w:vAlign w:val="center"/>
          </w:tcPr>
          <w:p>
            <w:r>
              <w:t>Hour at which the order was purchased</w:t>
            </w:r>
          </w:p>
        </w:tc>
      </w:tr>
      <w:tr>
        <w:tc>
          <w:tcPr>
            <w:tcW w:type="dxa" w:w="5040"/>
            <w:vAlign w:val="center"/>
          </w:tcPr>
          <w:p>
            <w:r>
              <w:t>purchase_day</w:t>
            </w:r>
          </w:p>
        </w:tc>
        <w:tc>
          <w:tcPr>
            <w:tcW w:type="dxa" w:w="5040"/>
            <w:vAlign w:val="center"/>
          </w:tcPr>
          <w:p>
            <w:r>
              <w:t>Day of the month of purchase</w:t>
            </w:r>
          </w:p>
        </w:tc>
      </w:tr>
      <w:tr>
        <w:tc>
          <w:tcPr>
            <w:tcW w:type="dxa" w:w="5040"/>
            <w:vAlign w:val="center"/>
          </w:tcPr>
          <w:p>
            <w:r>
              <w:t>purchase_month</w:t>
            </w:r>
          </w:p>
        </w:tc>
        <w:tc>
          <w:tcPr>
            <w:tcW w:type="dxa" w:w="5040"/>
            <w:vAlign w:val="center"/>
          </w:tcPr>
          <w:p>
            <w:r>
              <w:t>Month of purchase</w:t>
            </w:r>
          </w:p>
        </w:tc>
      </w:tr>
      <w:tr>
        <w:tc>
          <w:tcPr>
            <w:tcW w:type="dxa" w:w="5040"/>
            <w:vAlign w:val="center"/>
          </w:tcPr>
          <w:p>
            <w:r>
              <w:t>purchase_weekday</w:t>
            </w:r>
          </w:p>
        </w:tc>
        <w:tc>
          <w:tcPr>
            <w:tcW w:type="dxa" w:w="5040"/>
            <w:vAlign w:val="center"/>
          </w:tcPr>
          <w:p>
            <w:r>
              <w:t>Day of week represented numerically</w:t>
            </w:r>
          </w:p>
        </w:tc>
      </w:tr>
    </w:tbl>
    <w:p>
      <w:r>
        <w:t>After removing rows with missing values in the selected modeling fields, the final modeling dataset contained 96,476 records and 8 columns: seven predictor variables and one target variable.</w:t>
      </w:r>
    </w:p>
    <w:p>
      <w:pPr>
        <w:pStyle w:val="Heading2"/>
      </w:pPr>
      <w:r>
        <w:t>3.2 Data Split</w:t>
      </w:r>
    </w:p>
    <w:p>
      <w:r>
        <w:t>The data was divided into 80% training data and 20% testing data using train_test_split with random_state = 42. The resulting training set contained 77,180 observations and the testing set contained 19,296 observations.</w:t>
      </w:r>
    </w:p>
    <w:p>
      <w:pPr>
        <w:pStyle w:val="Heading2"/>
      </w:pPr>
      <w:r>
        <w:t>3.3 Evidence from Colab Notebook</w:t>
      </w:r>
    </w:p>
    <w:p>
      <w:r>
        <w:t>The following screenshots document the executed data-loading and feature-engineering steps.</w:t>
      </w:r>
    </w:p>
    <w:p>
      <w:pPr>
        <w:jc w:val="center"/>
      </w:pPr>
      <w:r>
        <w:drawing>
          <wp:inline xmlns:a="http://schemas.openxmlformats.org/drawingml/2006/main" xmlns:pic="http://schemas.openxmlformats.org/drawingml/2006/picture">
            <wp:extent cx="5852160" cy="1628480"/>
            <wp:docPr id="1" name="Picture 1"/>
            <wp:cNvGraphicFramePr>
              <a:graphicFrameLocks noChangeAspect="1"/>
            </wp:cNvGraphicFramePr>
            <a:graphic>
              <a:graphicData uri="http://schemas.openxmlformats.org/drawingml/2006/picture">
                <pic:pic>
                  <pic:nvPicPr>
                    <pic:cNvPr id="0" name="Screenshot 2026-10-08 204312.png"/>
                    <pic:cNvPicPr/>
                  </pic:nvPicPr>
                  <pic:blipFill>
                    <a:blip r:embed="rId11"/>
                    <a:stretch>
                      <a:fillRect/>
                    </a:stretch>
                  </pic:blipFill>
                  <pic:spPr>
                    <a:xfrm>
                      <a:off x="0" y="0"/>
                      <a:ext cx="5852160" cy="1628480"/>
                    </a:xfrm>
                    <a:prstGeom prst="rect"/>
                  </pic:spPr>
                </pic:pic>
              </a:graphicData>
            </a:graphic>
          </wp:inline>
        </w:drawing>
      </w:r>
    </w:p>
    <w:p>
      <w:pPr>
        <w:jc w:val="center"/>
      </w:pPr>
      <w:r>
        <w:rPr>
          <w:i/>
          <w:sz w:val="16"/>
        </w:rPr>
        <w:t>Figure 1. Executed Task 4 notebook step.</w:t>
      </w:r>
    </w:p>
    <w:p>
      <w:pPr>
        <w:jc w:val="center"/>
      </w:pPr>
      <w:r>
        <w:drawing>
          <wp:inline xmlns:a="http://schemas.openxmlformats.org/drawingml/2006/main" xmlns:pic="http://schemas.openxmlformats.org/drawingml/2006/picture">
            <wp:extent cx="5852160" cy="2845266"/>
            <wp:docPr id="2" name="Picture 2"/>
            <wp:cNvGraphicFramePr>
              <a:graphicFrameLocks noChangeAspect="1"/>
            </wp:cNvGraphicFramePr>
            <a:graphic>
              <a:graphicData uri="http://schemas.openxmlformats.org/drawingml/2006/picture">
                <pic:pic>
                  <pic:nvPicPr>
                    <pic:cNvPr id="0" name="Screenshot 2026-10-08 204322.png"/>
                    <pic:cNvPicPr/>
                  </pic:nvPicPr>
                  <pic:blipFill>
                    <a:blip r:embed="rId12"/>
                    <a:stretch>
                      <a:fillRect/>
                    </a:stretch>
                  </pic:blipFill>
                  <pic:spPr>
                    <a:xfrm>
                      <a:off x="0" y="0"/>
                      <a:ext cx="5852160" cy="2845266"/>
                    </a:xfrm>
                    <a:prstGeom prst="rect"/>
                  </pic:spPr>
                </pic:pic>
              </a:graphicData>
            </a:graphic>
          </wp:inline>
        </w:drawing>
      </w:r>
    </w:p>
    <w:p>
      <w:pPr>
        <w:jc w:val="center"/>
      </w:pPr>
      <w:r>
        <w:rPr>
          <w:i/>
          <w:sz w:val="16"/>
        </w:rPr>
        <w:t>Figure 2. Executed Task 4 notebook step.</w:t>
      </w:r>
    </w:p>
    <w:p>
      <w:pPr>
        <w:jc w:val="center"/>
      </w:pPr>
      <w:r>
        <w:drawing>
          <wp:inline xmlns:a="http://schemas.openxmlformats.org/drawingml/2006/main" xmlns:pic="http://schemas.openxmlformats.org/drawingml/2006/picture">
            <wp:extent cx="5852160" cy="2848315"/>
            <wp:docPr id="3" name="Picture 3"/>
            <wp:cNvGraphicFramePr>
              <a:graphicFrameLocks noChangeAspect="1"/>
            </wp:cNvGraphicFramePr>
            <a:graphic>
              <a:graphicData uri="http://schemas.openxmlformats.org/drawingml/2006/picture">
                <pic:pic>
                  <pic:nvPicPr>
                    <pic:cNvPr id="0" name="Screenshot 2026-10-08 204330.png"/>
                    <pic:cNvPicPr/>
                  </pic:nvPicPr>
                  <pic:blipFill>
                    <a:blip r:embed="rId13"/>
                    <a:stretch>
                      <a:fillRect/>
                    </a:stretch>
                  </pic:blipFill>
                  <pic:spPr>
                    <a:xfrm>
                      <a:off x="0" y="0"/>
                      <a:ext cx="5852160" cy="2848315"/>
                    </a:xfrm>
                    <a:prstGeom prst="rect"/>
                  </pic:spPr>
                </pic:pic>
              </a:graphicData>
            </a:graphic>
          </wp:inline>
        </w:drawing>
      </w:r>
    </w:p>
    <w:p>
      <w:pPr>
        <w:jc w:val="center"/>
      </w:pPr>
      <w:r>
        <w:rPr>
          <w:i/>
          <w:sz w:val="16"/>
        </w:rPr>
        <w:t>Figure 3. Executed Task 4 notebook step.</w:t>
      </w:r>
    </w:p>
    <w:p>
      <w:pPr>
        <w:jc w:val="center"/>
      </w:pPr>
      <w:r>
        <w:drawing>
          <wp:inline xmlns:a="http://schemas.openxmlformats.org/drawingml/2006/main" xmlns:pic="http://schemas.openxmlformats.org/drawingml/2006/picture">
            <wp:extent cx="5852160" cy="2833068"/>
            <wp:docPr id="4" name="Picture 4"/>
            <wp:cNvGraphicFramePr>
              <a:graphicFrameLocks noChangeAspect="1"/>
            </wp:cNvGraphicFramePr>
            <a:graphic>
              <a:graphicData uri="http://schemas.openxmlformats.org/drawingml/2006/picture">
                <pic:pic>
                  <pic:nvPicPr>
                    <pic:cNvPr id="0" name="Screenshot 2026-10-08 204337.png"/>
                    <pic:cNvPicPr/>
                  </pic:nvPicPr>
                  <pic:blipFill>
                    <a:blip r:embed="rId14"/>
                    <a:stretch>
                      <a:fillRect/>
                    </a:stretch>
                  </pic:blipFill>
                  <pic:spPr>
                    <a:xfrm>
                      <a:off x="0" y="0"/>
                      <a:ext cx="5852160" cy="2833068"/>
                    </a:xfrm>
                    <a:prstGeom prst="rect"/>
                  </pic:spPr>
                </pic:pic>
              </a:graphicData>
            </a:graphic>
          </wp:inline>
        </w:drawing>
      </w:r>
    </w:p>
    <w:p>
      <w:pPr>
        <w:jc w:val="center"/>
      </w:pPr>
      <w:r>
        <w:rPr>
          <w:i/>
          <w:sz w:val="16"/>
        </w:rPr>
        <w:t>Figure 4. Executed Task 4 notebook step.</w:t>
      </w:r>
    </w:p>
    <w:p>
      <w:pPr>
        <w:jc w:val="center"/>
      </w:pPr>
      <w:r>
        <w:drawing>
          <wp:inline xmlns:a="http://schemas.openxmlformats.org/drawingml/2006/main" xmlns:pic="http://schemas.openxmlformats.org/drawingml/2006/picture">
            <wp:extent cx="5852160" cy="2820869"/>
            <wp:docPr id="5" name="Picture 5"/>
            <wp:cNvGraphicFramePr>
              <a:graphicFrameLocks noChangeAspect="1"/>
            </wp:cNvGraphicFramePr>
            <a:graphic>
              <a:graphicData uri="http://schemas.openxmlformats.org/drawingml/2006/picture">
                <pic:pic>
                  <pic:nvPicPr>
                    <pic:cNvPr id="0" name="Screenshot 2026-10-08 204344.png"/>
                    <pic:cNvPicPr/>
                  </pic:nvPicPr>
                  <pic:blipFill>
                    <a:blip r:embed="rId15"/>
                    <a:stretch>
                      <a:fillRect/>
                    </a:stretch>
                  </pic:blipFill>
                  <pic:spPr>
                    <a:xfrm>
                      <a:off x="0" y="0"/>
                      <a:ext cx="5852160" cy="2820869"/>
                    </a:xfrm>
                    <a:prstGeom prst="rect"/>
                  </pic:spPr>
                </pic:pic>
              </a:graphicData>
            </a:graphic>
          </wp:inline>
        </w:drawing>
      </w:r>
    </w:p>
    <w:p>
      <w:pPr>
        <w:jc w:val="center"/>
      </w:pPr>
      <w:r>
        <w:rPr>
          <w:i/>
          <w:sz w:val="16"/>
        </w:rPr>
        <w:t>Figure 5. Executed Task 4 notebook step.</w:t>
      </w:r>
    </w:p>
    <w:p>
      <w:pPr>
        <w:pStyle w:val="Heading1"/>
      </w:pPr>
      <w:r>
        <w:t>4. Model Selection and Implementation</w:t>
      </w:r>
    </w:p>
    <w:p>
      <w:r>
        <w:t>Three regression models were selected to provide a simple baseline, a non-linear tree model, and an ensemble model. This comparison helps determine whether the relationships between logistics features and delivery time are better represented by a flexible non-linear model.</w:t>
      </w:r>
    </w:p>
    <w:p>
      <w:pPr>
        <w:pStyle w:val="Heading2"/>
      </w:pPr>
      <w:r>
        <w:t>4.1 Linear Regression</w:t>
      </w:r>
    </w:p>
    <w:p>
      <w:r>
        <w:t>Linear Regression was used as the baseline. It assumes that the target can be approximated by a linear combination of the input features. It is simple, fast and easy to interpret.</w:t>
      </w:r>
    </w:p>
    <w:p>
      <w:pPr>
        <w:pStyle w:val="Heading2"/>
      </w:pPr>
      <w:r>
        <w:t>4.2 Decision Tree Regressor</w:t>
      </w:r>
    </w:p>
    <w:p>
      <w:r>
        <w:t>A Decision Tree Regressor was used to capture non-linear relationships and feature interactions. The model was configured with max_depth = 10 and random_state = 42.</w:t>
      </w:r>
    </w:p>
    <w:p>
      <w:pPr>
        <w:pStyle w:val="Heading2"/>
      </w:pPr>
      <w:r>
        <w:t>4.3 Random Forest Regressor</w:t>
      </w:r>
    </w:p>
    <w:p>
      <w:r>
        <w:t>Random Forest combines multiple decision trees and averages their predictions. It was selected as the primary model because ensemble trees can model non-linear logistics relationships while generally being more robust than a single decision tree. The implementation used 100 trees, max_depth = 15, random_state = 42 and n_jobs = -1.</w:t>
      </w:r>
    </w:p>
    <w:p>
      <w:pPr>
        <w:pStyle w:val="Heading2"/>
      </w:pPr>
      <w:r>
        <w:t>4.4 Core Python Code</w:t>
      </w:r>
    </w:p>
    <w:p>
      <w:pPr>
        <w:pStyle w:val="CodeBlock"/>
      </w:pPr>
      <w:r>
        <w:t># Split data</w:t>
        <w:br/>
        <w:t>X_train, X_test, y_train, y_test = train_test_split(</w:t>
        <w:br/>
        <w:t xml:space="preserve">    X, y, test_size=0.20, random_state=42</w:t>
        <w:br/>
        <w:t>)</w:t>
        <w:br/>
        <w:br/>
        <w:t># Random Forest model</w:t>
        <w:br/>
        <w:t>rf_model = RandomForestRegressor(</w:t>
        <w:br/>
        <w:t xml:space="preserve">    n_estimators=100,</w:t>
        <w:br/>
        <w:t xml:space="preserve">    max_depth=15,</w:t>
        <w:br/>
        <w:t xml:space="preserve">    random_state=42,</w:t>
        <w:br/>
        <w:t xml:space="preserve">    n_jobs=-1</w:t>
        <w:br/>
        <w:t>)</w:t>
        <w:br/>
        <w:br/>
        <w:t>rf_model.fit(X_train, y_train)</w:t>
        <w:br/>
        <w:t>rf_pred = rf_model.predict(X_test)</w:t>
      </w:r>
    </w:p>
    <w:p>
      <w:pPr>
        <w:pStyle w:val="Heading2"/>
      </w:pPr>
      <w:r>
        <w:t>4.5 Model Execution Evidence</w:t>
      </w:r>
    </w:p>
    <w:p>
      <w:pPr>
        <w:jc w:val="center"/>
      </w:pPr>
      <w:r>
        <w:drawing>
          <wp:inline xmlns:a="http://schemas.openxmlformats.org/drawingml/2006/main" xmlns:pic="http://schemas.openxmlformats.org/drawingml/2006/picture">
            <wp:extent cx="5852160" cy="2840647"/>
            <wp:docPr id="6" name="Picture 6"/>
            <wp:cNvGraphicFramePr>
              <a:graphicFrameLocks noChangeAspect="1"/>
            </wp:cNvGraphicFramePr>
            <a:graphic>
              <a:graphicData uri="http://schemas.openxmlformats.org/drawingml/2006/picture">
                <pic:pic>
                  <pic:nvPicPr>
                    <pic:cNvPr id="0" name="Screenshot 2026-10-08 204402.png"/>
                    <pic:cNvPicPr/>
                  </pic:nvPicPr>
                  <pic:blipFill>
                    <a:blip r:embed="rId16"/>
                    <a:stretch>
                      <a:fillRect/>
                    </a:stretch>
                  </pic:blipFill>
                  <pic:spPr>
                    <a:xfrm>
                      <a:off x="0" y="0"/>
                      <a:ext cx="5852160" cy="2840647"/>
                    </a:xfrm>
                    <a:prstGeom prst="rect"/>
                  </pic:spPr>
                </pic:pic>
              </a:graphicData>
            </a:graphic>
          </wp:inline>
        </w:drawing>
      </w:r>
    </w:p>
    <w:p>
      <w:pPr>
        <w:jc w:val="center"/>
      </w:pPr>
      <w:r>
        <w:rPr>
          <w:i/>
          <w:sz w:val="16"/>
        </w:rPr>
        <w:t>Figure 6. Model training and execution output.</w:t>
      </w:r>
    </w:p>
    <w:p>
      <w:pPr>
        <w:jc w:val="center"/>
      </w:pPr>
      <w:r>
        <w:drawing>
          <wp:inline xmlns:a="http://schemas.openxmlformats.org/drawingml/2006/main" xmlns:pic="http://schemas.openxmlformats.org/drawingml/2006/picture">
            <wp:extent cx="5852160" cy="2830018"/>
            <wp:docPr id="7" name="Picture 7"/>
            <wp:cNvGraphicFramePr>
              <a:graphicFrameLocks noChangeAspect="1"/>
            </wp:cNvGraphicFramePr>
            <a:graphic>
              <a:graphicData uri="http://schemas.openxmlformats.org/drawingml/2006/picture">
                <pic:pic>
                  <pic:nvPicPr>
                    <pic:cNvPr id="0" name="Screenshot 2026-10-08 204412.png"/>
                    <pic:cNvPicPr/>
                  </pic:nvPicPr>
                  <pic:blipFill>
                    <a:blip r:embed="rId17"/>
                    <a:stretch>
                      <a:fillRect/>
                    </a:stretch>
                  </pic:blipFill>
                  <pic:spPr>
                    <a:xfrm>
                      <a:off x="0" y="0"/>
                      <a:ext cx="5852160" cy="2830018"/>
                    </a:xfrm>
                    <a:prstGeom prst="rect"/>
                  </pic:spPr>
                </pic:pic>
              </a:graphicData>
            </a:graphic>
          </wp:inline>
        </w:drawing>
      </w:r>
    </w:p>
    <w:p>
      <w:pPr>
        <w:jc w:val="center"/>
      </w:pPr>
      <w:r>
        <w:rPr>
          <w:i/>
          <w:sz w:val="16"/>
        </w:rPr>
        <w:t>Figure 7. Model training and execution output.</w:t>
      </w:r>
    </w:p>
    <w:p>
      <w:pPr>
        <w:jc w:val="center"/>
      </w:pPr>
      <w:r>
        <w:drawing>
          <wp:inline xmlns:a="http://schemas.openxmlformats.org/drawingml/2006/main" xmlns:pic="http://schemas.openxmlformats.org/drawingml/2006/picture">
            <wp:extent cx="5852160" cy="1713869"/>
            <wp:docPr id="8" name="Picture 8"/>
            <wp:cNvGraphicFramePr>
              <a:graphicFrameLocks noChangeAspect="1"/>
            </wp:cNvGraphicFramePr>
            <a:graphic>
              <a:graphicData uri="http://schemas.openxmlformats.org/drawingml/2006/picture">
                <pic:pic>
                  <pic:nvPicPr>
                    <pic:cNvPr id="0" name="Screenshot 2026-10-08 204422.png"/>
                    <pic:cNvPicPr/>
                  </pic:nvPicPr>
                  <pic:blipFill>
                    <a:blip r:embed="rId18"/>
                    <a:stretch>
                      <a:fillRect/>
                    </a:stretch>
                  </pic:blipFill>
                  <pic:spPr>
                    <a:xfrm>
                      <a:off x="0" y="0"/>
                      <a:ext cx="5852160" cy="1713869"/>
                    </a:xfrm>
                    <a:prstGeom prst="rect"/>
                  </pic:spPr>
                </pic:pic>
              </a:graphicData>
            </a:graphic>
          </wp:inline>
        </w:drawing>
      </w:r>
    </w:p>
    <w:p>
      <w:pPr>
        <w:jc w:val="center"/>
      </w:pPr>
      <w:r>
        <w:rPr>
          <w:i/>
          <w:sz w:val="16"/>
        </w:rPr>
        <w:t>Figure 8. Model training and execution output.</w:t>
      </w:r>
    </w:p>
    <w:p>
      <w:pPr>
        <w:pStyle w:val="Heading1"/>
      </w:pPr>
      <w:r>
        <w:t>5. Model Evaluation and Validation</w:t>
      </w:r>
    </w:p>
    <w:p>
      <w:r>
        <w:t>The models were evaluated on the unseen 20% test set. Three standard regression metrics were used.</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t>Metric</w:t>
            </w:r>
          </w:p>
        </w:tc>
        <w:tc>
          <w:tcPr>
            <w:tcW w:type="dxa" w:w="3360"/>
            <w:shd w:fill="D9EAF7"/>
          </w:tcPr>
          <w:p>
            <w:r>
              <w:t>Full Name</w:t>
            </w:r>
          </w:p>
        </w:tc>
        <w:tc>
          <w:tcPr>
            <w:tcW w:type="dxa" w:w="3360"/>
            <w:shd w:fill="D9EAF7"/>
          </w:tcPr>
          <w:p>
            <w:r>
              <w:t>Interpretation</w:t>
            </w:r>
          </w:p>
        </w:tc>
      </w:tr>
      <w:tr>
        <w:tc>
          <w:tcPr>
            <w:tcW w:type="dxa" w:w="3360"/>
          </w:tcPr>
          <w:p>
            <w:r>
              <w:t>MAE</w:t>
            </w:r>
          </w:p>
        </w:tc>
        <w:tc>
          <w:tcPr>
            <w:tcW w:type="dxa" w:w="3360"/>
          </w:tcPr>
          <w:p>
            <w:r>
              <w:t>Mean Absolute Error</w:t>
            </w:r>
          </w:p>
        </w:tc>
        <w:tc>
          <w:tcPr>
            <w:tcW w:type="dxa" w:w="3360"/>
          </w:tcPr>
          <w:p>
            <w:r>
              <w:t>Average absolute difference between actual and predicted delivery time. Lower is better.</w:t>
            </w:r>
          </w:p>
        </w:tc>
      </w:tr>
      <w:tr>
        <w:tc>
          <w:tcPr>
            <w:tcW w:type="dxa" w:w="3360"/>
          </w:tcPr>
          <w:p>
            <w:r>
              <w:t>RMSE</w:t>
            </w:r>
          </w:p>
        </w:tc>
        <w:tc>
          <w:tcPr>
            <w:tcW w:type="dxa" w:w="3360"/>
          </w:tcPr>
          <w:p>
            <w:r>
              <w:t>Root Mean Squared Error</w:t>
            </w:r>
          </w:p>
        </w:tc>
        <w:tc>
          <w:tcPr>
            <w:tcW w:type="dxa" w:w="3360"/>
          </w:tcPr>
          <w:p>
            <w:r>
              <w:t>Penalizes larger prediction errors more strongly. Lower is better.</w:t>
            </w:r>
          </w:p>
        </w:tc>
      </w:tr>
      <w:tr>
        <w:tc>
          <w:tcPr>
            <w:tcW w:type="dxa" w:w="3360"/>
          </w:tcPr>
          <w:p>
            <w:r>
              <w:t>R²</w:t>
            </w:r>
          </w:p>
        </w:tc>
        <w:tc>
          <w:tcPr>
            <w:tcW w:type="dxa" w:w="3360"/>
          </w:tcPr>
          <w:p>
            <w:r>
              <w:t>Coefficient of Determination</w:t>
            </w:r>
          </w:p>
        </w:tc>
        <w:tc>
          <w:tcPr>
            <w:tcW w:type="dxa" w:w="3360"/>
          </w:tcPr>
          <w:p>
            <w:r>
              <w:t>Indicates how much variation in the target is explained by the model. Higher is better.</w:t>
            </w:r>
          </w:p>
        </w:tc>
      </w:tr>
    </w:tbl>
    <w:p>
      <w:pPr>
        <w:pStyle w:val="Heading2"/>
      </w:pPr>
      <w:r>
        <w:t>5.1 Results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t>Model</w:t>
            </w:r>
          </w:p>
        </w:tc>
        <w:tc>
          <w:tcPr>
            <w:tcW w:type="dxa" w:w="2520"/>
            <w:shd w:fill="D9EAF7"/>
          </w:tcPr>
          <w:p>
            <w:r>
              <w:t>MAE</w:t>
            </w:r>
          </w:p>
        </w:tc>
        <w:tc>
          <w:tcPr>
            <w:tcW w:type="dxa" w:w="2520"/>
            <w:shd w:fill="D9EAF7"/>
          </w:tcPr>
          <w:p>
            <w:r>
              <w:t>RMSE</w:t>
            </w:r>
          </w:p>
        </w:tc>
        <w:tc>
          <w:tcPr>
            <w:tcW w:type="dxa" w:w="2520"/>
            <w:shd w:fill="D9EAF7"/>
          </w:tcPr>
          <w:p>
            <w:r>
              <w:t>R² Score</w:t>
            </w:r>
          </w:p>
        </w:tc>
      </w:tr>
      <w:tr>
        <w:tc>
          <w:tcPr>
            <w:tcW w:type="dxa" w:w="2520"/>
          </w:tcPr>
          <w:p>
            <w:r>
              <w:t>Linear Regression</w:t>
            </w:r>
          </w:p>
        </w:tc>
        <w:tc>
          <w:tcPr>
            <w:tcW w:type="dxa" w:w="2520"/>
          </w:tcPr>
          <w:p>
            <w:r>
              <w:t>6.271193</w:t>
            </w:r>
          </w:p>
        </w:tc>
        <w:tc>
          <w:tcPr>
            <w:tcW w:type="dxa" w:w="2520"/>
          </w:tcPr>
          <w:p>
            <w:r>
              <w:t>9.796761</w:t>
            </w:r>
          </w:p>
        </w:tc>
        <w:tc>
          <w:tcPr>
            <w:tcW w:type="dxa" w:w="2520"/>
          </w:tcPr>
          <w:p>
            <w:r>
              <w:t>0.040538</w:t>
            </w:r>
          </w:p>
        </w:tc>
      </w:tr>
      <w:tr>
        <w:tc>
          <w:tcPr>
            <w:tcW w:type="dxa" w:w="2520"/>
          </w:tcPr>
          <w:p>
            <w:r>
              <w:t>Decision Tree</w:t>
            </w:r>
          </w:p>
        </w:tc>
        <w:tc>
          <w:tcPr>
            <w:tcW w:type="dxa" w:w="2520"/>
          </w:tcPr>
          <w:p>
            <w:r>
              <w:t>5.482899</w:t>
            </w:r>
          </w:p>
        </w:tc>
        <w:tc>
          <w:tcPr>
            <w:tcW w:type="dxa" w:w="2520"/>
          </w:tcPr>
          <w:p>
            <w:r>
              <w:t>9.295519</w:t>
            </w:r>
          </w:p>
        </w:tc>
        <w:tc>
          <w:tcPr>
            <w:tcW w:type="dxa" w:w="2520"/>
          </w:tcPr>
          <w:p>
            <w:r>
              <w:t>0.136263</w:t>
            </w:r>
          </w:p>
        </w:tc>
      </w:tr>
      <w:tr>
        <w:tc>
          <w:tcPr>
            <w:tcW w:type="dxa" w:w="2520"/>
          </w:tcPr>
          <w:p>
            <w:r>
              <w:t>Random Forest</w:t>
            </w:r>
          </w:p>
        </w:tc>
        <w:tc>
          <w:tcPr>
            <w:tcW w:type="dxa" w:w="2520"/>
          </w:tcPr>
          <w:p>
            <w:r>
              <w:t>5.385787</w:t>
            </w:r>
          </w:p>
        </w:tc>
        <w:tc>
          <w:tcPr>
            <w:tcW w:type="dxa" w:w="2520"/>
          </w:tcPr>
          <w:p>
            <w:r>
              <w:t>8.986125</w:t>
            </w:r>
          </w:p>
        </w:tc>
        <w:tc>
          <w:tcPr>
            <w:tcW w:type="dxa" w:w="2520"/>
          </w:tcPr>
          <w:p>
            <w:r>
              <w:t>0.192751</w:t>
            </w:r>
          </w:p>
        </w:tc>
      </w:tr>
    </w:tbl>
    <w:p>
      <w:r>
        <w:t>Random Forest achieved the lowest MAE (5.385787 days) and the lowest RMSE (8.986125 days) among the three tested models. It also produced the highest R² score (0.192751). Therefore, Random Forest was selected as the best-performing model for this task.</w:t>
      </w:r>
    </w:p>
    <w:p>
      <w:pPr>
        <w:jc w:val="center"/>
      </w:pPr>
      <w:r>
        <w:drawing>
          <wp:inline xmlns:a="http://schemas.openxmlformats.org/drawingml/2006/main" xmlns:pic="http://schemas.openxmlformats.org/drawingml/2006/picture">
            <wp:extent cx="5852160" cy="2869663"/>
            <wp:docPr id="9" name="Picture 9"/>
            <wp:cNvGraphicFramePr>
              <a:graphicFrameLocks noChangeAspect="1"/>
            </wp:cNvGraphicFramePr>
            <a:graphic>
              <a:graphicData uri="http://schemas.openxmlformats.org/drawingml/2006/picture">
                <pic:pic>
                  <pic:nvPicPr>
                    <pic:cNvPr id="0" name="Screenshot 2026-10-08 204428.png"/>
                    <pic:cNvPicPr/>
                  </pic:nvPicPr>
                  <pic:blipFill>
                    <a:blip r:embed="rId19"/>
                    <a:stretch>
                      <a:fillRect/>
                    </a:stretch>
                  </pic:blipFill>
                  <pic:spPr>
                    <a:xfrm>
                      <a:off x="0" y="0"/>
                      <a:ext cx="5852160" cy="2869663"/>
                    </a:xfrm>
                    <a:prstGeom prst="rect"/>
                  </pic:spPr>
                </pic:pic>
              </a:graphicData>
            </a:graphic>
          </wp:inline>
        </w:drawing>
      </w:r>
    </w:p>
    <w:p>
      <w:pPr>
        <w:jc w:val="center"/>
      </w:pPr>
      <w:r>
        <w:rPr>
          <w:i/>
          <w:sz w:val="16"/>
        </w:rPr>
        <w:t>Figure 9. Model evaluation / comparison output.</w:t>
      </w:r>
    </w:p>
    <w:p>
      <w:pPr>
        <w:jc w:val="center"/>
      </w:pPr>
      <w:r>
        <w:drawing>
          <wp:inline xmlns:a="http://schemas.openxmlformats.org/drawingml/2006/main" xmlns:pic="http://schemas.openxmlformats.org/drawingml/2006/picture">
            <wp:extent cx="5852160" cy="2863563"/>
            <wp:docPr id="10" name="Picture 10"/>
            <wp:cNvGraphicFramePr>
              <a:graphicFrameLocks noChangeAspect="1"/>
            </wp:cNvGraphicFramePr>
            <a:graphic>
              <a:graphicData uri="http://schemas.openxmlformats.org/drawingml/2006/picture">
                <pic:pic>
                  <pic:nvPicPr>
                    <pic:cNvPr id="0" name="Screenshot 2026-10-08 204442.png"/>
                    <pic:cNvPicPr/>
                  </pic:nvPicPr>
                  <pic:blipFill>
                    <a:blip r:embed="rId20"/>
                    <a:stretch>
                      <a:fillRect/>
                    </a:stretch>
                  </pic:blipFill>
                  <pic:spPr>
                    <a:xfrm>
                      <a:off x="0" y="0"/>
                      <a:ext cx="5852160" cy="2863563"/>
                    </a:xfrm>
                    <a:prstGeom prst="rect"/>
                  </pic:spPr>
                </pic:pic>
              </a:graphicData>
            </a:graphic>
          </wp:inline>
        </w:drawing>
      </w:r>
    </w:p>
    <w:p>
      <w:pPr>
        <w:jc w:val="center"/>
      </w:pPr>
      <w:r>
        <w:rPr>
          <w:i/>
          <w:sz w:val="16"/>
        </w:rPr>
        <w:t>Figure 10. Model evaluation / comparison output.</w:t>
      </w:r>
    </w:p>
    <w:p>
      <w:pPr>
        <w:pStyle w:val="Heading1"/>
      </w:pPr>
      <w:r>
        <w:t>6. Prediction and Practical Interpretation</w:t>
      </w:r>
    </w:p>
    <w:p>
      <w:r>
        <w:t>A hypothetical order was passed to the trained Random Forest model using the following inputs: total price = 500, total freight = 50, number of items = 2, purchase hour = 14, purchase day = 10, purchase month = 8 and purchase weekday = 2.</w:t>
      </w:r>
    </w:p>
    <w:p>
      <w:r>
        <w:rPr>
          <w:b/>
        </w:rPr>
        <w:t xml:space="preserve">Predicted delivery time: </w:t>
      </w:r>
      <w:r>
        <w:t>9.92 days</w:t>
      </w:r>
    </w:p>
    <w:p>
      <w:r>
        <w:t>This demonstrates how the trained model can provide an estimated delivery duration for a new order before the actual delivery occurs.</w:t>
      </w:r>
    </w:p>
    <w:p>
      <w:pPr>
        <w:jc w:val="center"/>
      </w:pPr>
      <w:r>
        <w:drawing>
          <wp:inline xmlns:a="http://schemas.openxmlformats.org/drawingml/2006/main" xmlns:pic="http://schemas.openxmlformats.org/drawingml/2006/picture">
            <wp:extent cx="5852160" cy="2839167"/>
            <wp:docPr id="11" name="Picture 11"/>
            <wp:cNvGraphicFramePr>
              <a:graphicFrameLocks noChangeAspect="1"/>
            </wp:cNvGraphicFramePr>
            <a:graphic>
              <a:graphicData uri="http://schemas.openxmlformats.org/drawingml/2006/picture">
                <pic:pic>
                  <pic:nvPicPr>
                    <pic:cNvPr id="0" name="Screenshot 2026-10-08 204458.png"/>
                    <pic:cNvPicPr/>
                  </pic:nvPicPr>
                  <pic:blipFill>
                    <a:blip r:embed="rId21"/>
                    <a:stretch>
                      <a:fillRect/>
                    </a:stretch>
                  </pic:blipFill>
                  <pic:spPr>
                    <a:xfrm>
                      <a:off x="0" y="0"/>
                      <a:ext cx="5852160" cy="2839167"/>
                    </a:xfrm>
                    <a:prstGeom prst="rect"/>
                  </pic:spPr>
                </pic:pic>
              </a:graphicData>
            </a:graphic>
          </wp:inline>
        </w:drawing>
      </w:r>
    </w:p>
    <w:p>
      <w:pPr>
        <w:jc w:val="center"/>
      </w:pPr>
      <w:r>
        <w:rPr>
          <w:i/>
          <w:sz w:val="16"/>
        </w:rPr>
        <w:t>Figure 11. Example prediction for a hypothetical order.</w:t>
      </w:r>
    </w:p>
    <w:p>
      <w:pPr>
        <w:pStyle w:val="Heading1"/>
      </w:pPr>
      <w:r>
        <w:t>7. Feature Importance Analysis</w:t>
      </w:r>
    </w:p>
    <w:p>
      <w:r>
        <w:t>Random Forest feature importance was used to identify which variables contributed most strongly to the model's predictions. The results were:</w:t>
      </w:r>
    </w:p>
    <w:tbl>
      <w:tblPr>
        <w:tblStyle w:val="TableGrid"/>
        <w:tblW w:type="auto" w:w="0"/>
        <w:tblLook w:firstColumn="1" w:firstRow="1" w:lastColumn="0" w:lastRow="0" w:noHBand="0" w:noVBand="1" w:val="04A0"/>
      </w:tblPr>
      <w:tblGrid>
        <w:gridCol w:w="5040"/>
        <w:gridCol w:w="5040"/>
      </w:tblGrid>
      <w:tr>
        <w:tc>
          <w:tcPr>
            <w:tcW w:type="dxa" w:w="5040"/>
            <w:shd w:fill="D9EAF7"/>
          </w:tcPr>
          <w:p>
            <w:r>
              <w:t>Feature</w:t>
            </w:r>
          </w:p>
        </w:tc>
        <w:tc>
          <w:tcPr>
            <w:tcW w:type="dxa" w:w="5040"/>
            <w:shd w:fill="D9EAF7"/>
          </w:tcPr>
          <w:p>
            <w:r>
              <w:t>Importance</w:t>
            </w:r>
          </w:p>
        </w:tc>
      </w:tr>
      <w:tr>
        <w:tc>
          <w:tcPr>
            <w:tcW w:type="dxa" w:w="5040"/>
          </w:tcPr>
          <w:p>
            <w:r>
              <w:t>total_freight</w:t>
            </w:r>
          </w:p>
        </w:tc>
        <w:tc>
          <w:tcPr>
            <w:tcW w:type="dxa" w:w="5040"/>
          </w:tcPr>
          <w:p>
            <w:r>
              <w:t>0.386817</w:t>
            </w:r>
          </w:p>
        </w:tc>
      </w:tr>
      <w:tr>
        <w:tc>
          <w:tcPr>
            <w:tcW w:type="dxa" w:w="5040"/>
          </w:tcPr>
          <w:p>
            <w:r>
              <w:t>total_price</w:t>
            </w:r>
          </w:p>
        </w:tc>
        <w:tc>
          <w:tcPr>
            <w:tcW w:type="dxa" w:w="5040"/>
          </w:tcPr>
          <w:p>
            <w:r>
              <w:t>0.197260</w:t>
            </w:r>
          </w:p>
        </w:tc>
      </w:tr>
      <w:tr>
        <w:tc>
          <w:tcPr>
            <w:tcW w:type="dxa" w:w="5040"/>
          </w:tcPr>
          <w:p>
            <w:r>
              <w:t>purchase_month</w:t>
            </w:r>
          </w:p>
        </w:tc>
        <w:tc>
          <w:tcPr>
            <w:tcW w:type="dxa" w:w="5040"/>
          </w:tcPr>
          <w:p>
            <w:r>
              <w:t>0.131384</w:t>
            </w:r>
          </w:p>
        </w:tc>
      </w:tr>
      <w:tr>
        <w:tc>
          <w:tcPr>
            <w:tcW w:type="dxa" w:w="5040"/>
          </w:tcPr>
          <w:p>
            <w:r>
              <w:t>purchase_day</w:t>
            </w:r>
          </w:p>
        </w:tc>
        <w:tc>
          <w:tcPr>
            <w:tcW w:type="dxa" w:w="5040"/>
          </w:tcPr>
          <w:p>
            <w:r>
              <w:t>0.103759</w:t>
            </w:r>
          </w:p>
        </w:tc>
      </w:tr>
      <w:tr>
        <w:tc>
          <w:tcPr>
            <w:tcW w:type="dxa" w:w="5040"/>
          </w:tcPr>
          <w:p>
            <w:r>
              <w:t>purchase_hour</w:t>
            </w:r>
          </w:p>
        </w:tc>
        <w:tc>
          <w:tcPr>
            <w:tcW w:type="dxa" w:w="5040"/>
          </w:tcPr>
          <w:p>
            <w:r>
              <w:t>0.099143</w:t>
            </w:r>
          </w:p>
        </w:tc>
      </w:tr>
      <w:tr>
        <w:tc>
          <w:tcPr>
            <w:tcW w:type="dxa" w:w="5040"/>
          </w:tcPr>
          <w:p>
            <w:r>
              <w:t>purchase_weekday</w:t>
            </w:r>
          </w:p>
        </w:tc>
        <w:tc>
          <w:tcPr>
            <w:tcW w:type="dxa" w:w="5040"/>
          </w:tcPr>
          <w:p>
            <w:r>
              <w:t>0.052840</w:t>
            </w:r>
          </w:p>
        </w:tc>
      </w:tr>
      <w:tr>
        <w:tc>
          <w:tcPr>
            <w:tcW w:type="dxa" w:w="5040"/>
          </w:tcPr>
          <w:p>
            <w:r>
              <w:t>number_of_items</w:t>
            </w:r>
          </w:p>
        </w:tc>
        <w:tc>
          <w:tcPr>
            <w:tcW w:type="dxa" w:w="5040"/>
          </w:tcPr>
          <w:p>
            <w:r>
              <w:t>0.028797</w:t>
            </w:r>
          </w:p>
        </w:tc>
      </w:tr>
    </w:tbl>
    <w:p>
      <w:r>
        <w:t>The most influential feature was total_freight with an importance of 0.386817, followed by total_price with 0.197260. This indicates that freight-related characteristics and order value were the strongest contributors among the selected features. Feature importance should be treated as model-specific importance rather than proof of direct causation.</w:t>
      </w:r>
    </w:p>
    <w:p>
      <w:pPr>
        <w:jc w:val="center"/>
      </w:pPr>
      <w:r>
        <w:drawing>
          <wp:inline xmlns:a="http://schemas.openxmlformats.org/drawingml/2006/main" xmlns:pic="http://schemas.openxmlformats.org/drawingml/2006/picture">
            <wp:extent cx="5852160" cy="1585786"/>
            <wp:docPr id="12" name="Picture 12"/>
            <wp:cNvGraphicFramePr>
              <a:graphicFrameLocks noChangeAspect="1"/>
            </wp:cNvGraphicFramePr>
            <a:graphic>
              <a:graphicData uri="http://schemas.openxmlformats.org/drawingml/2006/picture">
                <pic:pic>
                  <pic:nvPicPr>
                    <pic:cNvPr id="0" name="Screenshot 2026-10-08 204513.png"/>
                    <pic:cNvPicPr/>
                  </pic:nvPicPr>
                  <pic:blipFill>
                    <a:blip r:embed="rId22"/>
                    <a:stretch>
                      <a:fillRect/>
                    </a:stretch>
                  </pic:blipFill>
                  <pic:spPr>
                    <a:xfrm>
                      <a:off x="0" y="0"/>
                      <a:ext cx="5852160" cy="1585786"/>
                    </a:xfrm>
                    <a:prstGeom prst="rect"/>
                  </pic:spPr>
                </pic:pic>
              </a:graphicData>
            </a:graphic>
          </wp:inline>
        </w:drawing>
      </w:r>
    </w:p>
    <w:p>
      <w:pPr>
        <w:jc w:val="center"/>
      </w:pPr>
      <w:r>
        <w:rPr>
          <w:i/>
          <w:sz w:val="16"/>
        </w:rPr>
        <w:t>Figure 12. Random Forest feature importance chart.</w:t>
      </w:r>
    </w:p>
    <w:p>
      <w:pPr>
        <w:jc w:val="center"/>
      </w:pPr>
      <w:r>
        <w:drawing>
          <wp:inline xmlns:a="http://schemas.openxmlformats.org/drawingml/2006/main" xmlns:pic="http://schemas.openxmlformats.org/drawingml/2006/picture">
            <wp:extent cx="5852160" cy="2837596"/>
            <wp:docPr id="13" name="Picture 13"/>
            <wp:cNvGraphicFramePr>
              <a:graphicFrameLocks noChangeAspect="1"/>
            </wp:cNvGraphicFramePr>
            <a:graphic>
              <a:graphicData uri="http://schemas.openxmlformats.org/drawingml/2006/picture">
                <pic:pic>
                  <pic:nvPicPr>
                    <pic:cNvPr id="0" name="Screenshot 2026-10-08 204519.png"/>
                    <pic:cNvPicPr/>
                  </pic:nvPicPr>
                  <pic:blipFill>
                    <a:blip r:embed="rId23"/>
                    <a:stretch>
                      <a:fillRect/>
                    </a:stretch>
                  </pic:blipFill>
                  <pic:spPr>
                    <a:xfrm>
                      <a:off x="0" y="0"/>
                      <a:ext cx="5852160" cy="2837596"/>
                    </a:xfrm>
                    <a:prstGeom prst="rect"/>
                  </pic:spPr>
                </pic:pic>
              </a:graphicData>
            </a:graphic>
          </wp:inline>
        </w:drawing>
      </w:r>
    </w:p>
    <w:p>
      <w:pPr>
        <w:jc w:val="center"/>
      </w:pPr>
      <w:r>
        <w:rPr>
          <w:i/>
          <w:sz w:val="16"/>
        </w:rPr>
        <w:t>Figure 13. Feature importance values generated in Colab.</w:t>
      </w:r>
    </w:p>
    <w:p>
      <w:pPr>
        <w:pStyle w:val="Heading1"/>
      </w:pPr>
      <w:r>
        <w:t>8. High-Risk Order Identification</w:t>
      </w:r>
    </w:p>
    <w:p>
      <w:r>
        <w:t>The model was also used to flag orders whose predicted delivery time was greater than 20 days. This threshold was used as an operational screening rule to identify potentially delayed shipments.</w:t>
      </w:r>
    </w:p>
    <w:p>
      <w:r>
        <w:rPr>
          <w:b/>
        </w:rPr>
        <w:t xml:space="preserve">High-risk predicted orders identified: </w:t>
      </w:r>
      <w:r>
        <w:t>1,466</w:t>
      </w:r>
    </w:p>
    <w:p>
      <w:r>
        <w:rPr>
          <w:b/>
        </w:rPr>
        <w:t xml:space="preserve">High-risk orders as a percentage of the test set: </w:t>
      </w:r>
      <w:r>
        <w:t>7.60%</w:t>
      </w:r>
    </w:p>
    <w:p>
      <w:r>
        <w:rPr>
          <w:b/>
        </w:rPr>
        <w:t xml:space="preserve">Average delivery time across the modeling data: </w:t>
      </w:r>
      <w:r>
        <w:t>12.56 days</w:t>
      </w:r>
    </w:p>
    <w:p>
      <w:r>
        <w:t>The high-risk table provides actual delivery time, predicted delivery time and prediction error. This can be used as an early-warning mechanism for operational teams.</w:t>
      </w:r>
    </w:p>
    <w:p>
      <w:pPr>
        <w:jc w:val="center"/>
      </w:pPr>
      <w:r>
        <w:drawing>
          <wp:inline xmlns:a="http://schemas.openxmlformats.org/drawingml/2006/main" xmlns:pic="http://schemas.openxmlformats.org/drawingml/2006/picture">
            <wp:extent cx="5852160" cy="1443960"/>
            <wp:docPr id="14" name="Picture 14"/>
            <wp:cNvGraphicFramePr>
              <a:graphicFrameLocks noChangeAspect="1"/>
            </wp:cNvGraphicFramePr>
            <a:graphic>
              <a:graphicData uri="http://schemas.openxmlformats.org/drawingml/2006/picture">
                <pic:pic>
                  <pic:nvPicPr>
                    <pic:cNvPr id="0" name="Screenshot 2026-10-08 204530.png"/>
                    <pic:cNvPicPr/>
                  </pic:nvPicPr>
                  <pic:blipFill>
                    <a:blip r:embed="rId24"/>
                    <a:stretch>
                      <a:fillRect/>
                    </a:stretch>
                  </pic:blipFill>
                  <pic:spPr>
                    <a:xfrm>
                      <a:off x="0" y="0"/>
                      <a:ext cx="5852160" cy="1443960"/>
                    </a:xfrm>
                    <a:prstGeom prst="rect"/>
                  </pic:spPr>
                </pic:pic>
              </a:graphicData>
            </a:graphic>
          </wp:inline>
        </w:drawing>
      </w:r>
    </w:p>
    <w:p>
      <w:pPr>
        <w:jc w:val="center"/>
      </w:pPr>
      <w:r>
        <w:rPr>
          <w:i/>
          <w:sz w:val="16"/>
        </w:rPr>
        <w:t>Figure 14. High-risk order identification output.</w:t>
      </w:r>
    </w:p>
    <w:p>
      <w:pPr>
        <w:jc w:val="center"/>
      </w:pPr>
      <w:r>
        <w:drawing>
          <wp:inline xmlns:a="http://schemas.openxmlformats.org/drawingml/2006/main" xmlns:pic="http://schemas.openxmlformats.org/drawingml/2006/picture">
            <wp:extent cx="5852160" cy="2836117"/>
            <wp:docPr id="15" name="Picture 15"/>
            <wp:cNvGraphicFramePr>
              <a:graphicFrameLocks noChangeAspect="1"/>
            </wp:cNvGraphicFramePr>
            <a:graphic>
              <a:graphicData uri="http://schemas.openxmlformats.org/drawingml/2006/picture">
                <pic:pic>
                  <pic:nvPicPr>
                    <pic:cNvPr id="0" name="Screenshot 2026-10-08 204538.png"/>
                    <pic:cNvPicPr/>
                  </pic:nvPicPr>
                  <pic:blipFill>
                    <a:blip r:embed="rId25"/>
                    <a:stretch>
                      <a:fillRect/>
                    </a:stretch>
                  </pic:blipFill>
                  <pic:spPr>
                    <a:xfrm>
                      <a:off x="0" y="0"/>
                      <a:ext cx="5852160" cy="2836117"/>
                    </a:xfrm>
                    <a:prstGeom prst="rect"/>
                  </pic:spPr>
                </pic:pic>
              </a:graphicData>
            </a:graphic>
          </wp:inline>
        </w:drawing>
      </w:r>
    </w:p>
    <w:p>
      <w:pPr>
        <w:jc w:val="center"/>
      </w:pPr>
      <w:r>
        <w:rPr>
          <w:i/>
          <w:sz w:val="16"/>
        </w:rPr>
        <w:t>Figure 15. Average delivery time and high-risk order percentage.</w:t>
      </w:r>
    </w:p>
    <w:p>
      <w:pPr>
        <w:pStyle w:val="Heading1"/>
      </w:pPr>
      <w:r>
        <w:t>9. Logistics Optimization Strategies</w:t>
      </w:r>
    </w:p>
    <w:p>
      <w:r>
        <w:rPr>
          <w:b/>
        </w:rPr>
        <w:t>1. Early delay detection</w:t>
      </w:r>
    </w:p>
    <w:p>
      <w:r>
        <w:t>Use the Random Forest prediction for each incoming order. Orders with high predicted delivery times can be routed to an exception-management queue before the delay becomes critical.</w:t>
      </w:r>
    </w:p>
    <w:p>
      <w:r>
        <w:rPr>
          <w:b/>
        </w:rPr>
        <w:t>2. Freight and transportation review</w:t>
      </w:r>
    </w:p>
    <w:p>
      <w:r>
        <w:t>Because total freight had the highest model importance, logistics managers should investigate high-freight shipments, carrier assignments and transportation lanes for avoidable cost or delay.</w:t>
      </w:r>
    </w:p>
    <w:p>
      <w:r>
        <w:rPr>
          <w:b/>
        </w:rPr>
        <w:t>3. Resource allocation</w:t>
      </w:r>
    </w:p>
    <w:p>
      <w:r>
        <w:t>Allocate additional delivery capacity, vehicles or operational attention to shipments predicted to have long delivery times.</w:t>
      </w:r>
    </w:p>
    <w:p>
      <w:r>
        <w:rPr>
          <w:b/>
        </w:rPr>
        <w:t>4. Improved delivery estimates</w:t>
      </w:r>
    </w:p>
    <w:p>
      <w:r>
        <w:t>Use model predictions as a data-driven input to estimated delivery dates rather than relying only on static averages.</w:t>
      </w:r>
    </w:p>
    <w:p>
      <w:r>
        <w:rPr>
          <w:b/>
        </w:rPr>
        <w:t>5. Seasonal planning</w:t>
      </w:r>
    </w:p>
    <w:p>
      <w:r>
        <w:t>Purchase month and day were meaningful model features. Historical seasonal patterns can therefore be incorporated into staffing and transportation planning.</w:t>
      </w:r>
    </w:p>
    <w:p>
      <w:r>
        <w:rPr>
          <w:b/>
        </w:rPr>
        <w:t>6. Continuous model improvement</w:t>
      </w:r>
    </w:p>
    <w:p>
      <w:r>
        <w:t>Retrain the model periodically with recent orders, and add stronger logistics variables such as seller location, customer location, distance, carrier, product category and warehouse information when available.</w:t>
      </w:r>
    </w:p>
    <w:p>
      <w:pPr>
        <w:pStyle w:val="Heading1"/>
      </w:pPr>
      <w:r>
        <w:t>10. Actual vs Predicted Analysis</w:t>
      </w:r>
    </w:p>
    <w:p>
      <w:r>
        <w:t>The actual-versus-predicted scatter plot provides a visual assessment of prediction quality. A strong model would place observations close to an ideal diagonal relationship. The plot in this analysis shows a broad spread, indicating that the selected features do not capture all factors that determine delivery time. This is consistent with the moderate R² value of 0.192751.</w:t>
      </w:r>
    </w:p>
    <w:p>
      <w:pPr>
        <w:jc w:val="center"/>
      </w:pPr>
      <w:r>
        <w:drawing>
          <wp:inline xmlns:a="http://schemas.openxmlformats.org/drawingml/2006/main" xmlns:pic="http://schemas.openxmlformats.org/drawingml/2006/picture">
            <wp:extent cx="5852160" cy="2839076"/>
            <wp:docPr id="16" name="Picture 16"/>
            <wp:cNvGraphicFramePr>
              <a:graphicFrameLocks noChangeAspect="1"/>
            </wp:cNvGraphicFramePr>
            <a:graphic>
              <a:graphicData uri="http://schemas.openxmlformats.org/drawingml/2006/picture">
                <pic:pic>
                  <pic:nvPicPr>
                    <pic:cNvPr id="0" name="Screenshot 2026-10-08 204551.png"/>
                    <pic:cNvPicPr/>
                  </pic:nvPicPr>
                  <pic:blipFill>
                    <a:blip r:embed="rId26"/>
                    <a:stretch>
                      <a:fillRect/>
                    </a:stretch>
                  </pic:blipFill>
                  <pic:spPr>
                    <a:xfrm>
                      <a:off x="0" y="0"/>
                      <a:ext cx="5852160" cy="2839076"/>
                    </a:xfrm>
                    <a:prstGeom prst="rect"/>
                  </pic:spPr>
                </pic:pic>
              </a:graphicData>
            </a:graphic>
          </wp:inline>
        </w:drawing>
      </w:r>
    </w:p>
    <w:p>
      <w:pPr>
        <w:jc w:val="center"/>
      </w:pPr>
      <w:r>
        <w:rPr>
          <w:i/>
          <w:sz w:val="16"/>
        </w:rPr>
        <w:t>Figure 16. Actual versus predicted delivery time.</w:t>
      </w:r>
    </w:p>
    <w:p>
      <w:pPr>
        <w:pStyle w:val="Heading1"/>
      </w:pPr>
      <w:r>
        <w:t>11. Code and Methodology Summary</w:t>
      </w:r>
    </w:p>
    <w:p>
      <w:pPr>
        <w:pStyle w:val="CodeBlock"/>
      </w:pPr>
      <w:r>
        <w:t># Create target</w:t>
        <w:br/>
        <w:t>orders["delivery_days"] = (</w:t>
        <w:br/>
        <w:t xml:space="preserve">    orders["order_delivered_customer_date"]</w:t>
        <w:br/>
        <w:t xml:space="preserve">    - orders["order_purchase_timestamp"]</w:t>
        <w:br/>
        <w:t>).dt.total_seconds() / 86400</w:t>
        <w:br/>
        <w:br/>
        <w:t># Aggregate item-level information</w:t>
        <w:br/>
        <w:t>item_summary = items.groupby("order_id").agg(</w:t>
        <w:br/>
        <w:t xml:space="preserve">    total_price=("price", "sum"),</w:t>
        <w:br/>
        <w:t xml:space="preserve">    total_freight=("freight_value", "sum"),</w:t>
        <w:br/>
        <w:t xml:space="preserve">    number_of_items=("order_item_id", "count")</w:t>
        <w:br/>
        <w:t>).reset_index()</w:t>
        <w:br/>
        <w:br/>
        <w:t># Merge and prepare modeling data</w:t>
        <w:br/>
        <w:t>data = orders.merge(item_summary, on="order_id", how="left")</w:t>
        <w:br/>
        <w:t>model_data = data[features + [target]].dropna()</w:t>
        <w:br/>
        <w:br/>
        <w:t># Evaluate predictions</w:t>
        <w:br/>
        <w:t>mae = mean_absolute_error(y_test, rf_pred)</w:t>
        <w:br/>
        <w:t>rmse = np.sqrt(mean_squared_error(y_test, rf_pred))</w:t>
        <w:br/>
        <w:t>r2 = r2_score(y_test, rf_pred)</w:t>
      </w:r>
    </w:p>
    <w:p>
      <w:pPr>
        <w:pStyle w:val="Heading1"/>
      </w:pPr>
      <w:r>
        <w:t>12. Discussion</w:t>
      </w:r>
    </w:p>
    <w:p>
      <w:r>
        <w:t>The model comparison demonstrates that Random Forest performed better than both Linear Regression and the selected Decision Tree configuration on the test set. The improvement is visible in both MAE and RMSE, while the R² score is also higher.</w:t>
      </w:r>
    </w:p>
    <w:p>
      <w:r>
        <w:t>However, the R² value of approximately 0.193 indicates that a large proportion of delivery-time variation remains unexplained by the current seven features. This is an important analytical finding, not a failure of the workflow. Delivery time is influenced by operational factors that are not present in the current feature set, such as origin-destination distance, seller and customer locations, carrier performance, warehouse processing time, product characteristics, traffic and regional constraints.</w:t>
      </w:r>
    </w:p>
    <w:p>
      <w:pPr>
        <w:pStyle w:val="Heading1"/>
      </w:pPr>
      <w:r>
        <w:t>13. Actionable Recommendations</w:t>
      </w:r>
    </w:p>
    <w:p>
      <w:pPr>
        <w:pStyle w:val="ListBullet"/>
      </w:pPr>
      <w:r>
        <w:t>Deploy the model as an early-warning scoring system for high-risk orders.</w:t>
      </w:r>
    </w:p>
    <w:p>
      <w:pPr>
        <w:pStyle w:val="ListBullet"/>
      </w:pPr>
      <w:r>
        <w:t>Prioritize investigation of shipments with predicted delivery times above the operational threshold.</w:t>
      </w:r>
    </w:p>
    <w:p>
      <w:pPr>
        <w:pStyle w:val="ListBullet"/>
      </w:pPr>
      <w:r>
        <w:t>Analyze high-freight orders for carrier, route and transportation-mode optimization.</w:t>
      </w:r>
    </w:p>
    <w:p>
      <w:pPr>
        <w:pStyle w:val="ListBullet"/>
      </w:pPr>
      <w:r>
        <w:t>Add geographic and carrier-level variables to improve predictive accuracy.</w:t>
      </w:r>
    </w:p>
    <w:p>
      <w:pPr>
        <w:pStyle w:val="ListBullet"/>
      </w:pPr>
      <w:r>
        <w:t>Use cross-validation and hyperparameter tuning in the next iteration to improve model generalization.</w:t>
      </w:r>
    </w:p>
    <w:p>
      <w:pPr>
        <w:pStyle w:val="ListBullet"/>
      </w:pPr>
      <w:r>
        <w:t>Monitor MAE and RMSE after deployment and retrain when performance degrades.</w:t>
      </w:r>
    </w:p>
    <w:p>
      <w:pPr>
        <w:pStyle w:val="ListBullet"/>
      </w:pPr>
      <w:r>
        <w:t>Combine prediction with an optimization layer that allocates limited delivery resources to the highest-risk shipments.</w:t>
      </w:r>
    </w:p>
    <w:p>
      <w:pPr>
        <w:pStyle w:val="Heading1"/>
      </w:pPr>
      <w:r>
        <w:t>14. Conclusion</w:t>
      </w:r>
    </w:p>
    <w:p>
      <w:r>
        <w:t>This Week 4 task successfully implemented a predictive modeling workflow for logistics delivery-time forecasting. The process included data preparation, feature engineering, train-test splitting, model training, evaluation, prediction, feature-importance analysis and high-risk order identification.</w:t>
      </w:r>
    </w:p>
    <w:p>
      <w:r>
        <w:t>Among the evaluated models, Random Forest provided the best test performance with an MAE of 5.385787 days, RMSE of 8.986125 days and R² of 0.192751. The model predicted 9.92 days for the example order, while the high-risk screening rule identified 1,466 test orders, representing 7.60% of the test set.</w:t>
      </w:r>
    </w:p>
    <w:p>
      <w:r>
        <w:t>The results show how predictive analytics can support proactive logistics management. The strongest next step is to enrich the dataset with operational and geographic variables and then combine the prediction model with optimization methods for routing, resource allocation and cost minimization.</w:t>
      </w:r>
    </w:p>
    <w:p>
      <w:pPr>
        <w:pStyle w:val="Heading1"/>
      </w:pPr>
      <w:r>
        <w:t>Appendix A: Colab Execution Evidence</w:t>
      </w:r>
    </w:p>
    <w:p>
      <w:r>
        <w:t>The screenshots below are included as evidence that the analysis, model training, evaluation and optimization-related calculations were executed in the Task 4 Google Colab notebook.</w:t>
      </w:r>
    </w:p>
    <w:p>
      <w:pPr>
        <w:jc w:val="center"/>
      </w:pPr>
      <w:r>
        <w:drawing>
          <wp:inline xmlns:a="http://schemas.openxmlformats.org/drawingml/2006/main" xmlns:pic="http://schemas.openxmlformats.org/drawingml/2006/picture">
            <wp:extent cx="5852160" cy="2830018"/>
            <wp:docPr id="17" name="Picture 17"/>
            <wp:cNvGraphicFramePr>
              <a:graphicFrameLocks noChangeAspect="1"/>
            </wp:cNvGraphicFramePr>
            <a:graphic>
              <a:graphicData uri="http://schemas.openxmlformats.org/drawingml/2006/picture">
                <pic:pic>
                  <pic:nvPicPr>
                    <pic:cNvPr id="0" name="Screenshot 2026-10-08 204412.png"/>
                    <pic:cNvPicPr/>
                  </pic:nvPicPr>
                  <pic:blipFill>
                    <a:blip r:embed="rId17"/>
                    <a:stretch>
                      <a:fillRect/>
                    </a:stretch>
                  </pic:blipFill>
                  <pic:spPr>
                    <a:xfrm>
                      <a:off x="0" y="0"/>
                      <a:ext cx="5852160" cy="2830018"/>
                    </a:xfrm>
                    <a:prstGeom prst="rect"/>
                  </pic:spPr>
                </pic:pic>
              </a:graphicData>
            </a:graphic>
          </wp:inline>
        </w:drawing>
      </w:r>
    </w:p>
    <w:p>
      <w:pPr>
        <w:jc w:val="center"/>
      </w:pPr>
      <w:r>
        <w:rPr>
          <w:i/>
          <w:sz w:val="16"/>
        </w:rPr>
        <w:t>Appendix Figure 1. Task 4 notebook evidence.</w:t>
      </w:r>
    </w:p>
    <w:p>
      <w:pPr>
        <w:jc w:val="center"/>
      </w:pPr>
      <w:r>
        <w:drawing>
          <wp:inline xmlns:a="http://schemas.openxmlformats.org/drawingml/2006/main" xmlns:pic="http://schemas.openxmlformats.org/drawingml/2006/picture">
            <wp:extent cx="5852160" cy="1713869"/>
            <wp:docPr id="18" name="Picture 18"/>
            <wp:cNvGraphicFramePr>
              <a:graphicFrameLocks noChangeAspect="1"/>
            </wp:cNvGraphicFramePr>
            <a:graphic>
              <a:graphicData uri="http://schemas.openxmlformats.org/drawingml/2006/picture">
                <pic:pic>
                  <pic:nvPicPr>
                    <pic:cNvPr id="0" name="Screenshot 2026-10-08 204422.png"/>
                    <pic:cNvPicPr/>
                  </pic:nvPicPr>
                  <pic:blipFill>
                    <a:blip r:embed="rId18"/>
                    <a:stretch>
                      <a:fillRect/>
                    </a:stretch>
                  </pic:blipFill>
                  <pic:spPr>
                    <a:xfrm>
                      <a:off x="0" y="0"/>
                      <a:ext cx="5852160" cy="1713869"/>
                    </a:xfrm>
                    <a:prstGeom prst="rect"/>
                  </pic:spPr>
                </pic:pic>
              </a:graphicData>
            </a:graphic>
          </wp:inline>
        </w:drawing>
      </w:r>
    </w:p>
    <w:p>
      <w:pPr>
        <w:jc w:val="center"/>
      </w:pPr>
      <w:r>
        <w:rPr>
          <w:i/>
          <w:sz w:val="16"/>
        </w:rPr>
        <w:t>Appendix Figure 2. Task 4 notebook evidence.</w:t>
      </w:r>
    </w:p>
    <w:p>
      <w:pPr>
        <w:jc w:val="center"/>
      </w:pPr>
      <w:r>
        <w:drawing>
          <wp:inline xmlns:a="http://schemas.openxmlformats.org/drawingml/2006/main" xmlns:pic="http://schemas.openxmlformats.org/drawingml/2006/picture">
            <wp:extent cx="5852160" cy="2869663"/>
            <wp:docPr id="19" name="Picture 19"/>
            <wp:cNvGraphicFramePr>
              <a:graphicFrameLocks noChangeAspect="1"/>
            </wp:cNvGraphicFramePr>
            <a:graphic>
              <a:graphicData uri="http://schemas.openxmlformats.org/drawingml/2006/picture">
                <pic:pic>
                  <pic:nvPicPr>
                    <pic:cNvPr id="0" name="Screenshot 2026-10-08 204428.png"/>
                    <pic:cNvPicPr/>
                  </pic:nvPicPr>
                  <pic:blipFill>
                    <a:blip r:embed="rId19"/>
                    <a:stretch>
                      <a:fillRect/>
                    </a:stretch>
                  </pic:blipFill>
                  <pic:spPr>
                    <a:xfrm>
                      <a:off x="0" y="0"/>
                      <a:ext cx="5852160" cy="2869663"/>
                    </a:xfrm>
                    <a:prstGeom prst="rect"/>
                  </pic:spPr>
                </pic:pic>
              </a:graphicData>
            </a:graphic>
          </wp:inline>
        </w:drawing>
      </w:r>
    </w:p>
    <w:p>
      <w:pPr>
        <w:jc w:val="center"/>
      </w:pPr>
      <w:r>
        <w:rPr>
          <w:i/>
          <w:sz w:val="16"/>
        </w:rPr>
        <w:t>Appendix Figure 3. Task 4 notebook evidence.</w:t>
      </w:r>
    </w:p>
    <w:p>
      <w:pPr>
        <w:jc w:val="center"/>
      </w:pPr>
      <w:r>
        <w:drawing>
          <wp:inline xmlns:a="http://schemas.openxmlformats.org/drawingml/2006/main" xmlns:pic="http://schemas.openxmlformats.org/drawingml/2006/picture">
            <wp:extent cx="5852160" cy="2863563"/>
            <wp:docPr id="20" name="Picture 20"/>
            <wp:cNvGraphicFramePr>
              <a:graphicFrameLocks noChangeAspect="1"/>
            </wp:cNvGraphicFramePr>
            <a:graphic>
              <a:graphicData uri="http://schemas.openxmlformats.org/drawingml/2006/picture">
                <pic:pic>
                  <pic:nvPicPr>
                    <pic:cNvPr id="0" name="Screenshot 2026-10-08 204442.png"/>
                    <pic:cNvPicPr/>
                  </pic:nvPicPr>
                  <pic:blipFill>
                    <a:blip r:embed="rId20"/>
                    <a:stretch>
                      <a:fillRect/>
                    </a:stretch>
                  </pic:blipFill>
                  <pic:spPr>
                    <a:xfrm>
                      <a:off x="0" y="0"/>
                      <a:ext cx="5852160" cy="2863563"/>
                    </a:xfrm>
                    <a:prstGeom prst="rect"/>
                  </pic:spPr>
                </pic:pic>
              </a:graphicData>
            </a:graphic>
          </wp:inline>
        </w:drawing>
      </w:r>
    </w:p>
    <w:p>
      <w:pPr>
        <w:jc w:val="center"/>
      </w:pPr>
      <w:r>
        <w:rPr>
          <w:i/>
          <w:sz w:val="16"/>
        </w:rPr>
        <w:t>Appendix Figure 4. Task 4 notebook evidence.</w:t>
      </w:r>
    </w:p>
    <w:p>
      <w:pPr>
        <w:jc w:val="center"/>
      </w:pPr>
      <w:r>
        <w:drawing>
          <wp:inline xmlns:a="http://schemas.openxmlformats.org/drawingml/2006/main" xmlns:pic="http://schemas.openxmlformats.org/drawingml/2006/picture">
            <wp:extent cx="5852160" cy="2839167"/>
            <wp:docPr id="21" name="Picture 21"/>
            <wp:cNvGraphicFramePr>
              <a:graphicFrameLocks noChangeAspect="1"/>
            </wp:cNvGraphicFramePr>
            <a:graphic>
              <a:graphicData uri="http://schemas.openxmlformats.org/drawingml/2006/picture">
                <pic:pic>
                  <pic:nvPicPr>
                    <pic:cNvPr id="0" name="Screenshot 2026-10-08 204458.png"/>
                    <pic:cNvPicPr/>
                  </pic:nvPicPr>
                  <pic:blipFill>
                    <a:blip r:embed="rId21"/>
                    <a:stretch>
                      <a:fillRect/>
                    </a:stretch>
                  </pic:blipFill>
                  <pic:spPr>
                    <a:xfrm>
                      <a:off x="0" y="0"/>
                      <a:ext cx="5852160" cy="2839167"/>
                    </a:xfrm>
                    <a:prstGeom prst="rect"/>
                  </pic:spPr>
                </pic:pic>
              </a:graphicData>
            </a:graphic>
          </wp:inline>
        </w:drawing>
      </w:r>
    </w:p>
    <w:p>
      <w:pPr>
        <w:jc w:val="center"/>
      </w:pPr>
      <w:r>
        <w:rPr>
          <w:i/>
          <w:sz w:val="16"/>
        </w:rPr>
        <w:t>Appendix Figure 5. Task 4 notebook evidence.</w:t>
      </w:r>
    </w:p>
    <w:p>
      <w:pPr>
        <w:jc w:val="center"/>
      </w:pPr>
      <w:r>
        <w:drawing>
          <wp:inline xmlns:a="http://schemas.openxmlformats.org/drawingml/2006/main" xmlns:pic="http://schemas.openxmlformats.org/drawingml/2006/picture">
            <wp:extent cx="5852160" cy="1585786"/>
            <wp:docPr id="22" name="Picture 22"/>
            <wp:cNvGraphicFramePr>
              <a:graphicFrameLocks noChangeAspect="1"/>
            </wp:cNvGraphicFramePr>
            <a:graphic>
              <a:graphicData uri="http://schemas.openxmlformats.org/drawingml/2006/picture">
                <pic:pic>
                  <pic:nvPicPr>
                    <pic:cNvPr id="0" name="Screenshot 2026-10-08 204513.png"/>
                    <pic:cNvPicPr/>
                  </pic:nvPicPr>
                  <pic:blipFill>
                    <a:blip r:embed="rId22"/>
                    <a:stretch>
                      <a:fillRect/>
                    </a:stretch>
                  </pic:blipFill>
                  <pic:spPr>
                    <a:xfrm>
                      <a:off x="0" y="0"/>
                      <a:ext cx="5852160" cy="1585786"/>
                    </a:xfrm>
                    <a:prstGeom prst="rect"/>
                  </pic:spPr>
                </pic:pic>
              </a:graphicData>
            </a:graphic>
          </wp:inline>
        </w:drawing>
      </w:r>
    </w:p>
    <w:p>
      <w:pPr>
        <w:jc w:val="center"/>
      </w:pPr>
      <w:r>
        <w:rPr>
          <w:i/>
          <w:sz w:val="16"/>
        </w:rPr>
        <w:t>Appendix Figure 6. Task 4 notebook evidence.</w:t>
      </w:r>
    </w:p>
    <w:p>
      <w:pPr>
        <w:jc w:val="center"/>
      </w:pPr>
      <w:r>
        <w:drawing>
          <wp:inline xmlns:a="http://schemas.openxmlformats.org/drawingml/2006/main" xmlns:pic="http://schemas.openxmlformats.org/drawingml/2006/picture">
            <wp:extent cx="5852160" cy="2837596"/>
            <wp:docPr id="23" name="Picture 23"/>
            <wp:cNvGraphicFramePr>
              <a:graphicFrameLocks noChangeAspect="1"/>
            </wp:cNvGraphicFramePr>
            <a:graphic>
              <a:graphicData uri="http://schemas.openxmlformats.org/drawingml/2006/picture">
                <pic:pic>
                  <pic:nvPicPr>
                    <pic:cNvPr id="0" name="Screenshot 2026-10-08 204519.png"/>
                    <pic:cNvPicPr/>
                  </pic:nvPicPr>
                  <pic:blipFill>
                    <a:blip r:embed="rId23"/>
                    <a:stretch>
                      <a:fillRect/>
                    </a:stretch>
                  </pic:blipFill>
                  <pic:spPr>
                    <a:xfrm>
                      <a:off x="0" y="0"/>
                      <a:ext cx="5852160" cy="2837596"/>
                    </a:xfrm>
                    <a:prstGeom prst="rect"/>
                  </pic:spPr>
                </pic:pic>
              </a:graphicData>
            </a:graphic>
          </wp:inline>
        </w:drawing>
      </w:r>
    </w:p>
    <w:p>
      <w:pPr>
        <w:jc w:val="center"/>
      </w:pPr>
      <w:r>
        <w:rPr>
          <w:i/>
          <w:sz w:val="16"/>
        </w:rPr>
        <w:t>Appendix Figure 7. Task 4 notebook evidence.</w:t>
      </w:r>
    </w:p>
    <w:p>
      <w:pPr>
        <w:jc w:val="center"/>
      </w:pPr>
      <w:r>
        <w:drawing>
          <wp:inline xmlns:a="http://schemas.openxmlformats.org/drawingml/2006/main" xmlns:pic="http://schemas.openxmlformats.org/drawingml/2006/picture">
            <wp:extent cx="5852160" cy="1443960"/>
            <wp:docPr id="24" name="Picture 24"/>
            <wp:cNvGraphicFramePr>
              <a:graphicFrameLocks noChangeAspect="1"/>
            </wp:cNvGraphicFramePr>
            <a:graphic>
              <a:graphicData uri="http://schemas.openxmlformats.org/drawingml/2006/picture">
                <pic:pic>
                  <pic:nvPicPr>
                    <pic:cNvPr id="0" name="Screenshot 2026-10-08 204530.png"/>
                    <pic:cNvPicPr/>
                  </pic:nvPicPr>
                  <pic:blipFill>
                    <a:blip r:embed="rId24"/>
                    <a:stretch>
                      <a:fillRect/>
                    </a:stretch>
                  </pic:blipFill>
                  <pic:spPr>
                    <a:xfrm>
                      <a:off x="0" y="0"/>
                      <a:ext cx="5852160" cy="1443960"/>
                    </a:xfrm>
                    <a:prstGeom prst="rect"/>
                  </pic:spPr>
                </pic:pic>
              </a:graphicData>
            </a:graphic>
          </wp:inline>
        </w:drawing>
      </w:r>
    </w:p>
    <w:p>
      <w:pPr>
        <w:jc w:val="center"/>
      </w:pPr>
      <w:r>
        <w:rPr>
          <w:i/>
          <w:sz w:val="16"/>
        </w:rPr>
        <w:t>Appendix Figure 8. Task 4 notebook evidence.</w:t>
      </w:r>
    </w:p>
    <w:p>
      <w:pPr>
        <w:jc w:val="center"/>
      </w:pPr>
      <w:r>
        <w:drawing>
          <wp:inline xmlns:a="http://schemas.openxmlformats.org/drawingml/2006/main" xmlns:pic="http://schemas.openxmlformats.org/drawingml/2006/picture">
            <wp:extent cx="5852160" cy="2836117"/>
            <wp:docPr id="25" name="Picture 25"/>
            <wp:cNvGraphicFramePr>
              <a:graphicFrameLocks noChangeAspect="1"/>
            </wp:cNvGraphicFramePr>
            <a:graphic>
              <a:graphicData uri="http://schemas.openxmlformats.org/drawingml/2006/picture">
                <pic:pic>
                  <pic:nvPicPr>
                    <pic:cNvPr id="0" name="Screenshot 2026-10-08 204538.png"/>
                    <pic:cNvPicPr/>
                  </pic:nvPicPr>
                  <pic:blipFill>
                    <a:blip r:embed="rId25"/>
                    <a:stretch>
                      <a:fillRect/>
                    </a:stretch>
                  </pic:blipFill>
                  <pic:spPr>
                    <a:xfrm>
                      <a:off x="0" y="0"/>
                      <a:ext cx="5852160" cy="2836117"/>
                    </a:xfrm>
                    <a:prstGeom prst="rect"/>
                  </pic:spPr>
                </pic:pic>
              </a:graphicData>
            </a:graphic>
          </wp:inline>
        </w:drawing>
      </w:r>
    </w:p>
    <w:p>
      <w:pPr>
        <w:jc w:val="center"/>
      </w:pPr>
      <w:r>
        <w:rPr>
          <w:i/>
          <w:sz w:val="16"/>
        </w:rPr>
        <w:t>Appendix Figure 9. Task 4 notebook evidence.</w:t>
      </w:r>
    </w:p>
    <w:p>
      <w:pPr>
        <w:jc w:val="center"/>
      </w:pPr>
      <w:r>
        <w:drawing>
          <wp:inline xmlns:a="http://schemas.openxmlformats.org/drawingml/2006/main" xmlns:pic="http://schemas.openxmlformats.org/drawingml/2006/picture">
            <wp:extent cx="5852160" cy="2839076"/>
            <wp:docPr id="26" name="Picture 26"/>
            <wp:cNvGraphicFramePr>
              <a:graphicFrameLocks noChangeAspect="1"/>
            </wp:cNvGraphicFramePr>
            <a:graphic>
              <a:graphicData uri="http://schemas.openxmlformats.org/drawingml/2006/picture">
                <pic:pic>
                  <pic:nvPicPr>
                    <pic:cNvPr id="0" name="Screenshot 2026-10-08 204551.png"/>
                    <pic:cNvPicPr/>
                  </pic:nvPicPr>
                  <pic:blipFill>
                    <a:blip r:embed="rId26"/>
                    <a:stretch>
                      <a:fillRect/>
                    </a:stretch>
                  </pic:blipFill>
                  <pic:spPr>
                    <a:xfrm>
                      <a:off x="0" y="0"/>
                      <a:ext cx="5852160" cy="2839076"/>
                    </a:xfrm>
                    <a:prstGeom prst="rect"/>
                  </pic:spPr>
                </pic:pic>
              </a:graphicData>
            </a:graphic>
          </wp:inline>
        </w:drawing>
      </w:r>
    </w:p>
    <w:p>
      <w:pPr>
        <w:jc w:val="center"/>
      </w:pPr>
      <w:r>
        <w:rPr>
          <w:i/>
          <w:sz w:val="16"/>
        </w:rPr>
        <w:t>Appendix Figure 10. Task 4 notebook evidence.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YuvaIntern Logistics Data Analyst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Week 4 | Predictive Modeling and Optimization in Logistics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