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0"/>
        <w:gridCol w:w="235"/>
        <w:gridCol w:w="1301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 disclosed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identity and access management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as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sum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of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any subset of a given array sorted in ascending order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973784</wp:posOffset>
            </wp:positionH>
            <wp:positionV relativeFrom="page">
              <wp:posOffset>2218016</wp:posOffset>
            </wp:positionV>
            <wp:extent cx="5071079" cy="286138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1079" cy="28613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Find the smallest positive integer value that cannot be 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repsented</w:t>
            </w: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 xml:space="preserve"> as sum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  <w:t> of any subset of a given array sorted in ascending order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class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1;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for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0;i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&lt;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length;i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if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]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&lt;=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];</w:t>
            </w:r>
          </w:p>
        </w:tc>
      </w:tr>
      <w:tr>
        <w:tblPrEx/>
        <w:trPr>
          <w:trHeight w:val="53" w:hRule="atLeast"/>
        </w:trPr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else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break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return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smlNumber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public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static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void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main(String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arg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[]){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new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SmallestIntegerInSortedArray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("Smallest Positive Integer that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cant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be represented by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                   the sum of any subset of following arrays are : ");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 1,1,3,4,6,7,9};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("{1,1,3,4,6,7,9}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arrA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arrB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{1,1,1,1,1};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("{1,1,1,1,1}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arrB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{2,3,6,7};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("{2,3,6,7} -" 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000000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arrC</w:t>
            </w:r>
            <w:r>
              <w:rPr>
                <w:rFonts w:ascii="Consolas" w:cs="Times New Roman" w:eastAsia="Times New Roman" w:hAnsi="Consolas"/>
                <w:color w:val="000000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int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[] 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arrD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=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{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Fonts w:ascii="Consolas" w:cs="Times New Roman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println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32f62"/>
                <w:sz w:val="18"/>
                <w:szCs w:val="18"/>
              </w:rPr>
              <w:t>"{1,2,6,7,9} -"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+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inherit" w:cs="Times New Roman" w:eastAsia="Times New Roman" w:hAnsi="inherit"/>
                <w:color w:val="d73a49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find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arrD</w:t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onsolas" w:cs="Times New Roman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bookmarkStart w:id="0" w:name="_GoBack"/>
    </w:tbl>
    <w:p>
      <w:pPr>
        <w:pStyle w:val="style0"/>
        <w:spacing w:after="16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noProof/>
          <w:color w:val="000000"/>
          <w:bdr w:val="none" w:sz="0" w:space="0" w:color="auto" w:frame="true"/>
        </w:rPr>
        <w:drawing>
          <wp:inline distL="0" distT="0" distB="0" distR="0">
            <wp:extent cx="6563890" cy="4510878"/>
            <wp:effectExtent l="0" t="0" r="8890" b="444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3890" cy="45108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94f63069-1fb5-4247-8b29-5762efc2dc24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Words>265</Words>
  <Pages>4</Pages>
  <Characters>1562</Characters>
  <Application>WPS Office</Application>
  <DocSecurity>0</DocSecurity>
  <Paragraphs>124</Paragraphs>
  <ScaleCrop>false</ScaleCrop>
  <LinksUpToDate>false</LinksUpToDate>
  <CharactersWithSpaces>1850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2020-06-18T10:14:34Z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