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JalWatch Project Overview</w:t>
      </w:r>
    </w:p>
    <w:p>
      <w:pPr>
        <w:spacing w:after="260"/>
      </w:pPr>
      <w:r>
        <w:rPr>
          <w:color w:val="000000"/>
          <w:sz w:val="21"/>
        </w:rPr>
        <w:t>How the data, model, application and response workflow fit together</w:t>
      </w:r>
    </w:p>
    <w:p>
      <w:r>
        <w:t>JalWatch is a local demonstration of water complaint monitoring for Nagpur. It connects prepared complaint and geographic data to a risk model, an administrator dashboard, alerts and incident tracking. This document explains what each part does, how the parts work together and where the demonstration stops short of a live municipal service.</w:t>
      </w:r>
    </w:p>
    <w:p>
      <w:pPr>
        <w:pStyle w:val="Heading1"/>
      </w:pPr>
      <w:r>
        <w:t>The end to end flow</w:t>
      </w:r>
    </w:p>
    <w:p>
      <w:pPr>
        <w:spacing w:before="60" w:after="200"/>
        <w:jc w:val="center"/>
      </w:pPr>
      <w:r>
        <w:rPr>
          <w:b/>
          <w:color w:val="176E60"/>
          <w:sz w:val="18"/>
        </w:rPr>
        <w:t>Data files  &gt;  Validation and SQLite  &gt;  Risk analysis  &gt;  Administrator review  &gt;  Alerts  &gt;  Incident response</w:t>
      </w:r>
    </w:p>
    <w:p>
      <w:r>
        <w:t>The database and model provide evidence for a decision, but an administrator controls the response. Complaint records can be explored on the map or in a list; model scores and count spikes help identify wards to review; alerts and incident tickets record what was done next.</w:t>
      </w:r>
    </w:p>
    <w:p>
      <w:pPr>
        <w:pStyle w:val="Heading1"/>
      </w:pPr>
      <w:r>
        <w:t>Data and geographic view</w:t>
      </w:r>
    </w:p>
    <w:p>
      <w:r>
        <w:t>The repository bundles 50,000 complaint records, 38 wards, 860 named localities, 800 water network nodes and 1,450 pipes. Validation checks identifiers and geographic coordinates, and the seed process loads the data into a local SQLite database. The map displays ward representative points, complaint locations and optional network layers with filters.</w:t>
      </w:r>
    </w:p>
    <w:p>
      <w:r>
        <w:t>The complaints and network assets are synthetic demonstration data. The ward and locality files provide names and representative coordinates, but the project does not have verified ward polygon boundaries or precise locality geometry. JalWatch therefore uses points and does not invent boundary shapes.</w:t>
      </w:r>
    </w:p>
    <w:p>
      <w:pPr>
        <w:pStyle w:val="Heading1"/>
      </w:pPr>
      <w:r>
        <w:t>Risk analysis</w:t>
      </w:r>
    </w:p>
    <w:p>
      <w:r>
        <w:t>A categorical Naive Bayes model scores a complaint from its type, severity, ward and locality. It excludes complaint status because that can change after filing and would reveal later response information to an intake time prediction. The saved model was trained on 40,000 records and evaluated on 10,000 later records.</w:t>
      </w:r>
    </w:p>
    <w:p>
      <w:r>
        <w:t>The Insights page averages complaint scores by ward over the latest 30 days in the available dataset. A separate count rule compares each ward's latest seven days with the four preceding weeks and flags unusually high volume. The saved evaluation reports 78.25 percent accuracy and 84.83 percent F1 on synthetic labels. These numbers measure agreement with a synthetic rule, not verified prediction of real future water incidents.</w:t>
      </w:r>
    </w:p>
    <w:p>
      <w:pPr>
        <w:pStyle w:val="Heading1"/>
      </w:pPr>
      <w:r>
        <w:t>Alerts and incident response</w:t>
      </w:r>
    </w:p>
    <w:p>
      <w:r>
        <w:t>An administrator can explicitly scan ward scores to create alerts when a score reaches the high risk threshold. The backend avoids duplicate open model alerts for a ward. Administrators can also create alerts manually, then acknowledge, resolve or dismiss them. Alerts are shown in the application; no SMS or email is sent.</w:t>
      </w:r>
    </w:p>
    <w:p>
      <w:r>
        <w:t>A response can be recorded as an incident ticket with a ward, severity, type, location, related alert or complaints, assigned crew and resolution notes. Its normal stages are Reported, Open, Assigned, In progress, Resolved and Closed. Each status change is saved in an event history so the team can review the response sequence.</w:t>
      </w:r>
    </w:p>
    <w:p>
      <w:pPr>
        <w:pStyle w:val="Heading1"/>
      </w:pPr>
      <w:r>
        <w:t>What the administrator sees</w:t>
      </w:r>
    </w:p>
    <w:tbl>
      <w:tblPr>
        <w:tblW w:type="auto" w:w="0"/>
        <w:tblLayout w:type="fixed"/>
        <w:tblLook w:firstColumn="1" w:firstRow="1" w:lastColumn="0" w:lastRow="0" w:noHBand="0" w:noVBand="1" w:val="04A0"/>
      </w:tblPr>
      <w:tblGrid>
        <w:gridCol w:w="1800"/>
        <w:gridCol w:w="7560"/>
      </w:tblGrid>
      <w:tr>
        <w:trPr>
          <w:tblHeader/>
        </w:trPr>
        <w:tc>
          <w:tcPr>
            <w:tcW w:type="dxa" w:w="1800"/>
            <w:shd w:fill="24434A"/>
            <w:vAlign w:val="center"/>
            <w:tcMar>
              <w:top w:w="90" w:type="dxa"/>
              <w:start w:w="130" w:type="dxa"/>
              <w:bottom w:w="90" w:type="dxa"/>
              <w:end w:w="130" w:type="dxa"/>
            </w:tcMar>
            <w:tcBorders>
              <w:top w:val="single" w:sz="5" w:color="D9D9D9"/>
              <w:bottom w:val="single" w:sz="5" w:color="D9D9D9"/>
              <w:start w:val="single" w:sz="5" w:color="D9D9D9"/>
              <w:end w:val="single" w:sz="5" w:color="D9D9D9"/>
            </w:tcBorders>
          </w:tcPr>
          <w:p>
            <w:pPr>
              <w:spacing w:after="0"/>
            </w:pPr>
            <w:r>
              <w:rPr>
                <w:b/>
                <w:color w:val="FFFFFF"/>
                <w:sz w:val="18"/>
              </w:rPr>
              <w:t>Area</w:t>
            </w:r>
          </w:p>
        </w:tc>
        <w:tc>
          <w:tcPr>
            <w:tcW w:type="dxa" w:w="7560"/>
            <w:shd w:fill="24434A"/>
            <w:vAlign w:val="center"/>
            <w:tcMar>
              <w:top w:w="90" w:type="dxa"/>
              <w:start w:w="130" w:type="dxa"/>
              <w:bottom w:w="90" w:type="dxa"/>
              <w:end w:w="130" w:type="dxa"/>
            </w:tcMar>
            <w:tcBorders>
              <w:top w:val="single" w:sz="5" w:color="D9D9D9"/>
              <w:bottom w:val="single" w:sz="5" w:color="D9D9D9"/>
              <w:start w:val="single" w:sz="5" w:color="D9D9D9"/>
              <w:end w:val="single" w:sz="5" w:color="D9D9D9"/>
            </w:tcBorders>
          </w:tcPr>
          <w:p>
            <w:pPr>
              <w:spacing w:after="0"/>
            </w:pPr>
            <w:r>
              <w:rPr>
                <w:b/>
                <w:color w:val="FFFFFF"/>
                <w:sz w:val="18"/>
              </w:rPr>
              <w:t>Purpose</w:t>
            </w:r>
          </w:p>
        </w:tc>
      </w:tr>
      <w:tr>
        <w:tc>
          <w:tcPr>
            <w:tcW w:type="dxa" w:w="1800"/>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b/>
                <w:color w:val="1C2B2B"/>
                <w:sz w:val="18"/>
              </w:rPr>
              <w:t>Overview</w:t>
            </w:r>
          </w:p>
        </w:tc>
        <w:tc>
          <w:tcPr>
            <w:tcW w:type="dxa" w:w="7560"/>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color w:val="1C2B2B"/>
                <w:sz w:val="18"/>
              </w:rPr>
              <w:t>Complaint totals, active alerts and incidents, trends, complaint types and wards to review</w:t>
            </w:r>
          </w:p>
        </w:tc>
      </w:tr>
      <w:tr>
        <w:tc>
          <w:tcPr>
            <w:tcW w:type="dxa" w:w="1800"/>
            <w:vAlign w:val="center"/>
            <w:tcMar>
              <w:top w:w="75" w:type="dxa"/>
              <w:start w:w="115" w:type="dxa"/>
              <w:bottom w:w="75" w:type="dxa"/>
              <w:end w:w="115" w:type="dxa"/>
            </w:tcMar>
            <w:shd w:fill="F3F7F7"/>
            <w:tcBorders>
              <w:top w:val="single" w:sz="5" w:color="D9D9D9"/>
              <w:bottom w:val="single" w:sz="5" w:color="D9D9D9"/>
              <w:start w:val="single" w:sz="5" w:color="D9D9D9"/>
              <w:end w:val="single" w:sz="5" w:color="D9D9D9"/>
            </w:tcBorders>
          </w:tcPr>
          <w:p>
            <w:pPr>
              <w:spacing w:after="0"/>
            </w:pPr>
            <w:r>
              <w:rPr>
                <w:b/>
                <w:color w:val="1C2B2B"/>
                <w:sz w:val="18"/>
              </w:rPr>
              <w:t>Complaints</w:t>
            </w:r>
          </w:p>
        </w:tc>
        <w:tc>
          <w:tcPr>
            <w:tcW w:type="dxa" w:w="7560"/>
            <w:vAlign w:val="center"/>
            <w:tcMar>
              <w:top w:w="75" w:type="dxa"/>
              <w:start w:w="115" w:type="dxa"/>
              <w:bottom w:w="75" w:type="dxa"/>
              <w:end w:w="115" w:type="dxa"/>
            </w:tcMar>
            <w:shd w:fill="F3F7F7"/>
            <w:tcBorders>
              <w:top w:val="single" w:sz="5" w:color="D9D9D9"/>
              <w:bottom w:val="single" w:sz="5" w:color="D9D9D9"/>
              <w:start w:val="single" w:sz="5" w:color="D9D9D9"/>
              <w:end w:val="single" w:sz="5" w:color="D9D9D9"/>
            </w:tcBorders>
          </w:tcPr>
          <w:p>
            <w:pPr>
              <w:spacing w:after="0"/>
            </w:pPr>
            <w:r>
              <w:rPr>
                <w:color w:val="1C2B2B"/>
                <w:sz w:val="18"/>
              </w:rPr>
              <w:t>Search and filter the bundled complaint records</w:t>
            </w:r>
          </w:p>
        </w:tc>
      </w:tr>
      <w:tr>
        <w:tc>
          <w:tcPr>
            <w:tcW w:type="dxa" w:w="1800"/>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b/>
                <w:color w:val="1C2B2B"/>
                <w:sz w:val="18"/>
              </w:rPr>
              <w:t>Map</w:t>
            </w:r>
          </w:p>
        </w:tc>
        <w:tc>
          <w:tcPr>
            <w:tcW w:type="dxa" w:w="7560"/>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color w:val="1C2B2B"/>
                <w:sz w:val="18"/>
              </w:rPr>
              <w:t>Explore complaint locations, wards and the water network</w:t>
            </w:r>
          </w:p>
        </w:tc>
      </w:tr>
      <w:tr>
        <w:tc>
          <w:tcPr>
            <w:tcW w:type="dxa" w:w="1800"/>
            <w:vAlign w:val="center"/>
            <w:tcMar>
              <w:top w:w="75" w:type="dxa"/>
              <w:start w:w="115" w:type="dxa"/>
              <w:bottom w:w="75" w:type="dxa"/>
              <w:end w:w="115" w:type="dxa"/>
            </w:tcMar>
            <w:shd w:fill="F3F7F7"/>
            <w:tcBorders>
              <w:top w:val="single" w:sz="5" w:color="D9D9D9"/>
              <w:bottom w:val="single" w:sz="5" w:color="D9D9D9"/>
              <w:start w:val="single" w:sz="5" w:color="D9D9D9"/>
              <w:end w:val="single" w:sz="5" w:color="D9D9D9"/>
            </w:tcBorders>
          </w:tcPr>
          <w:p>
            <w:pPr>
              <w:spacing w:after="0"/>
            </w:pPr>
            <w:r>
              <w:rPr>
                <w:b/>
                <w:color w:val="1C2B2B"/>
                <w:sz w:val="18"/>
              </w:rPr>
              <w:t>Insights</w:t>
            </w:r>
          </w:p>
        </w:tc>
        <w:tc>
          <w:tcPr>
            <w:tcW w:type="dxa" w:w="7560"/>
            <w:vAlign w:val="center"/>
            <w:tcMar>
              <w:top w:w="75" w:type="dxa"/>
              <w:start w:w="115" w:type="dxa"/>
              <w:bottom w:w="75" w:type="dxa"/>
              <w:end w:w="115" w:type="dxa"/>
            </w:tcMar>
            <w:shd w:fill="F3F7F7"/>
            <w:tcBorders>
              <w:top w:val="single" w:sz="5" w:color="D9D9D9"/>
              <w:bottom w:val="single" w:sz="5" w:color="D9D9D9"/>
              <w:start w:val="single" w:sz="5" w:color="D9D9D9"/>
              <w:end w:val="single" w:sz="5" w:color="D9D9D9"/>
            </w:tcBorders>
          </w:tcPr>
          <w:p>
            <w:pPr>
              <w:spacing w:after="0"/>
            </w:pPr>
            <w:r>
              <w:rPr>
                <w:color w:val="1C2B2B"/>
                <w:sz w:val="18"/>
              </w:rPr>
              <w:t>Compare ward model scores and unusual complaint counts</w:t>
            </w:r>
          </w:p>
        </w:tc>
      </w:tr>
      <w:tr>
        <w:tc>
          <w:tcPr>
            <w:tcW w:type="dxa" w:w="1800"/>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b/>
                <w:color w:val="1C2B2B"/>
                <w:sz w:val="18"/>
              </w:rPr>
              <w:t>Alerts</w:t>
            </w:r>
          </w:p>
        </w:tc>
        <w:tc>
          <w:tcPr>
            <w:tcW w:type="dxa" w:w="7560"/>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color w:val="1C2B2B"/>
                <w:sz w:val="18"/>
              </w:rPr>
              <w:t>Review warning signals and record decisions</w:t>
            </w:r>
          </w:p>
        </w:tc>
      </w:tr>
      <w:tr>
        <w:tc>
          <w:tcPr>
            <w:tcW w:type="dxa" w:w="1800"/>
            <w:vAlign w:val="center"/>
            <w:tcMar>
              <w:top w:w="75" w:type="dxa"/>
              <w:start w:w="115" w:type="dxa"/>
              <w:bottom w:w="75" w:type="dxa"/>
              <w:end w:w="115" w:type="dxa"/>
            </w:tcMar>
            <w:shd w:fill="F3F7F7"/>
            <w:tcBorders>
              <w:top w:val="single" w:sz="5" w:color="D9D9D9"/>
              <w:bottom w:val="single" w:sz="5" w:color="D9D9D9"/>
              <w:start w:val="single" w:sz="5" w:color="D9D9D9"/>
              <w:end w:val="single" w:sz="5" w:color="D9D9D9"/>
            </w:tcBorders>
          </w:tcPr>
          <w:p>
            <w:pPr>
              <w:spacing w:after="0"/>
            </w:pPr>
            <w:r>
              <w:rPr>
                <w:b/>
                <w:color w:val="1C2B2B"/>
                <w:sz w:val="18"/>
              </w:rPr>
              <w:t>Incidents</w:t>
            </w:r>
          </w:p>
        </w:tc>
        <w:tc>
          <w:tcPr>
            <w:tcW w:type="dxa" w:w="7560"/>
            <w:vAlign w:val="center"/>
            <w:tcMar>
              <w:top w:w="75" w:type="dxa"/>
              <w:start w:w="115" w:type="dxa"/>
              <w:bottom w:w="75" w:type="dxa"/>
              <w:end w:w="115" w:type="dxa"/>
            </w:tcMar>
            <w:shd w:fill="F3F7F7"/>
            <w:tcBorders>
              <w:top w:val="single" w:sz="5" w:color="D9D9D9"/>
              <w:bottom w:val="single" w:sz="5" w:color="D9D9D9"/>
              <w:start w:val="single" w:sz="5" w:color="D9D9D9"/>
              <w:end w:val="single" w:sz="5" w:color="D9D9D9"/>
            </w:tcBorders>
          </w:tcPr>
          <w:p>
            <w:pPr>
              <w:spacing w:after="0"/>
            </w:pPr>
            <w:r>
              <w:rPr>
                <w:color w:val="1C2B2B"/>
                <w:sz w:val="18"/>
              </w:rPr>
              <w:t>Create, assign, advance and review response tickets</w:t>
            </w:r>
          </w:p>
        </w:tc>
      </w:tr>
    </w:tbl>
    <w:p>
      <w:pPr>
        <w:pStyle w:val="Heading1"/>
      </w:pPr>
      <w:r>
        <w:t>How the application runs</w:t>
      </w:r>
    </w:p>
    <w:p>
      <w:r>
        <w:t>The Python FastAPI backend runs on port 8000. It reads the SQLite database and saved model, exposes protected API endpoints and handles a single administrator login through a signed session cookie. The React frontend runs on port 5173 and calls the backend through the development proxy. Both processes must run for the local website to work.</w:t>
      </w:r>
    </w:p>
    <w:p>
      <w:pPr>
        <w:pStyle w:val="Heading1"/>
      </w:pPr>
      <w:r>
        <w:t>How the three roles fit together</w:t>
      </w:r>
    </w:p>
    <w:tbl>
      <w:tblPr>
        <w:tblW w:type="auto" w:w="0"/>
        <w:tblLayout w:type="fixed"/>
        <w:tblLook w:firstColumn="1" w:firstRow="1" w:lastColumn="0" w:lastRow="0" w:noHBand="0" w:noVBand="1" w:val="04A0"/>
      </w:tblPr>
      <w:tblGrid>
        <w:gridCol w:w="2088"/>
        <w:gridCol w:w="7272"/>
      </w:tblGrid>
      <w:tr>
        <w:trPr>
          <w:tblHeader/>
        </w:trPr>
        <w:tc>
          <w:tcPr>
            <w:tcW w:type="dxa" w:w="2088"/>
            <w:shd w:fill="24434A"/>
            <w:vAlign w:val="center"/>
            <w:tcMar>
              <w:top w:w="90" w:type="dxa"/>
              <w:start w:w="130" w:type="dxa"/>
              <w:bottom w:w="90" w:type="dxa"/>
              <w:end w:w="130" w:type="dxa"/>
            </w:tcMar>
            <w:tcBorders>
              <w:top w:val="single" w:sz="5" w:color="D9D9D9"/>
              <w:bottom w:val="single" w:sz="5" w:color="D9D9D9"/>
              <w:start w:val="single" w:sz="5" w:color="D9D9D9"/>
              <w:end w:val="single" w:sz="5" w:color="D9D9D9"/>
            </w:tcBorders>
          </w:tcPr>
          <w:p>
            <w:pPr>
              <w:spacing w:after="0"/>
            </w:pPr>
            <w:r>
              <w:rPr>
                <w:b/>
                <w:color w:val="FFFFFF"/>
                <w:sz w:val="18"/>
              </w:rPr>
              <w:t>Role</w:t>
            </w:r>
          </w:p>
        </w:tc>
        <w:tc>
          <w:tcPr>
            <w:tcW w:type="dxa" w:w="7272"/>
            <w:shd w:fill="24434A"/>
            <w:vAlign w:val="center"/>
            <w:tcMar>
              <w:top w:w="90" w:type="dxa"/>
              <w:start w:w="130" w:type="dxa"/>
              <w:bottom w:w="90" w:type="dxa"/>
              <w:end w:w="130" w:type="dxa"/>
            </w:tcMar>
            <w:tcBorders>
              <w:top w:val="single" w:sz="5" w:color="D9D9D9"/>
              <w:bottom w:val="single" w:sz="5" w:color="D9D9D9"/>
              <w:start w:val="single" w:sz="5" w:color="D9D9D9"/>
              <w:end w:val="single" w:sz="5" w:color="D9D9D9"/>
            </w:tcBorders>
          </w:tcPr>
          <w:p>
            <w:pPr>
              <w:spacing w:after="0"/>
            </w:pPr>
            <w:r>
              <w:rPr>
                <w:b/>
                <w:color w:val="FFFFFF"/>
                <w:sz w:val="18"/>
              </w:rPr>
              <w:t>Contribution</w:t>
            </w:r>
          </w:p>
        </w:tc>
      </w:tr>
      <w:tr>
        <w:tc>
          <w:tcPr>
            <w:tcW w:type="dxa" w:w="2088"/>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b/>
                <w:color w:val="1C2B2B"/>
                <w:sz w:val="18"/>
              </w:rPr>
              <w:t>Data and GIS</w:t>
            </w:r>
          </w:p>
        </w:tc>
        <w:tc>
          <w:tcPr>
            <w:tcW w:type="dxa" w:w="7272"/>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color w:val="1C2B2B"/>
                <w:sz w:val="18"/>
              </w:rPr>
              <w:t>Validate and load the datasets; provide ward, locality, complaint, pipe and node map data</w:t>
            </w:r>
          </w:p>
        </w:tc>
      </w:tr>
      <w:tr>
        <w:tc>
          <w:tcPr>
            <w:tcW w:type="dxa" w:w="2088"/>
            <w:vAlign w:val="center"/>
            <w:tcMar>
              <w:top w:w="75" w:type="dxa"/>
              <w:start w:w="115" w:type="dxa"/>
              <w:bottom w:w="75" w:type="dxa"/>
              <w:end w:w="115" w:type="dxa"/>
            </w:tcMar>
            <w:shd w:fill="F3F7F7"/>
            <w:tcBorders>
              <w:top w:val="single" w:sz="5" w:color="D9D9D9"/>
              <w:bottom w:val="single" w:sz="5" w:color="D9D9D9"/>
              <w:start w:val="single" w:sz="5" w:color="D9D9D9"/>
              <w:end w:val="single" w:sz="5" w:color="D9D9D9"/>
            </w:tcBorders>
          </w:tcPr>
          <w:p>
            <w:pPr>
              <w:spacing w:after="0"/>
            </w:pPr>
            <w:r>
              <w:rPr>
                <w:b/>
                <w:color w:val="1C2B2B"/>
                <w:sz w:val="18"/>
              </w:rPr>
              <w:t>AI and ML</w:t>
            </w:r>
          </w:p>
        </w:tc>
        <w:tc>
          <w:tcPr>
            <w:tcW w:type="dxa" w:w="7272"/>
            <w:vAlign w:val="center"/>
            <w:tcMar>
              <w:top w:w="75" w:type="dxa"/>
              <w:start w:w="115" w:type="dxa"/>
              <w:bottom w:w="75" w:type="dxa"/>
              <w:end w:w="115" w:type="dxa"/>
            </w:tcMar>
            <w:shd w:fill="F3F7F7"/>
            <w:tcBorders>
              <w:top w:val="single" w:sz="5" w:color="D9D9D9"/>
              <w:bottom w:val="single" w:sz="5" w:color="D9D9D9"/>
              <w:start w:val="single" w:sz="5" w:color="D9D9D9"/>
              <w:end w:val="single" w:sz="5" w:color="D9D9D9"/>
            </w:tcBorders>
          </w:tcPr>
          <w:p>
            <w:pPr>
              <w:spacing w:after="0"/>
            </w:pPr>
            <w:r>
              <w:rPr>
                <w:color w:val="1C2B2B"/>
                <w:sz w:val="18"/>
              </w:rPr>
              <w:t>Prepare features; train and evaluate the model; calculate complaint and ward scores; detect count spikes</w:t>
            </w:r>
          </w:p>
        </w:tc>
      </w:tr>
      <w:tr>
        <w:tc>
          <w:tcPr>
            <w:tcW w:type="dxa" w:w="2088"/>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b/>
                <w:color w:val="1C2B2B"/>
                <w:sz w:val="18"/>
              </w:rPr>
              <w:t>Backend and dashboard</w:t>
            </w:r>
          </w:p>
        </w:tc>
        <w:tc>
          <w:tcPr>
            <w:tcW w:type="dxa" w:w="7272"/>
            <w:vAlign w:val="center"/>
            <w:tcMar>
              <w:top w:w="75" w:type="dxa"/>
              <w:start w:w="115" w:type="dxa"/>
              <w:bottom w:w="75" w:type="dxa"/>
              <w:end w:w="115" w:type="dxa"/>
            </w:tcMar>
            <w:tcBorders>
              <w:top w:val="single" w:sz="5" w:color="D9D9D9"/>
              <w:bottom w:val="single" w:sz="5" w:color="D9D9D9"/>
              <w:start w:val="single" w:sz="5" w:color="D9D9D9"/>
              <w:end w:val="single" w:sz="5" w:color="D9D9D9"/>
            </w:tcBorders>
          </w:tcPr>
          <w:p>
            <w:pPr>
              <w:spacing w:after="0"/>
            </w:pPr>
            <w:r>
              <w:rPr>
                <w:color w:val="1C2B2B"/>
                <w:sz w:val="18"/>
              </w:rPr>
              <w:t>Connect the model and map to login, pages, alerts, incident tracking and statistics</w:t>
            </w:r>
          </w:p>
        </w:tc>
      </w:tr>
    </w:tbl>
    <w:p>
      <w:pPr>
        <w:pStyle w:val="Heading1"/>
      </w:pPr>
      <w:r>
        <w:t>Example workflow</w:t>
      </w:r>
    </w:p>
    <w:p>
      <w:r>
        <w:t>Suppose the dataset contains a cluster of recent leakage reports in one ward. An administrator can find those records in Complaints and see their locations on the Map. Insights shows the ward's average model score and whether its complaint count has spiked. If the administrator creates an alert, they can review it, open an incident, assign a crew and record each stage through resolution. Overview then reflects the updated alert and incident counts.</w:t>
      </w:r>
    </w:p>
    <w:p>
      <w:pPr>
        <w:pStyle w:val="Heading1"/>
      </w:pPr>
      <w:r>
        <w:t>Current scope and development state</w:t>
      </w:r>
    </w:p>
    <w:p>
      <w:pPr>
        <w:pStyle w:val="ListBullet"/>
      </w:pPr>
      <w:r>
        <w:t>The application uses bundled data rather than a live complaint feed, and its network is a synthetic preview.</w:t>
      </w:r>
    </w:p>
    <w:p>
      <w:pPr>
        <w:pStyle w:val="ListBullet"/>
      </w:pPr>
      <w:r>
        <w:t>The model has not been validated against real incident outcomes; its score is not a proven probability of a future incident.</w:t>
      </w:r>
    </w:p>
    <w:p>
      <w:pPr>
        <w:pStyle w:val="ListBullet"/>
      </w:pPr>
      <w:r>
        <w:t>There are no external notifications, verified network assets, real ward polygons or multiuser roles yet.</w:t>
      </w:r>
    </w:p>
    <w:p>
      <w:pPr>
        <w:pStyle w:val="ListBullet"/>
      </w:pPr>
      <w:r>
        <w:t>As of 22 October 2026, the light frontend redesign is local and uncommitted. Teammates who pulled the pushed code see the older dark interface.</w:t>
      </w:r>
    </w:p>
    <w:p>
      <w:r>
        <w:t>The integrated local demonstration is suitable for showing the workflow and testing the modules together. A live service would require fresh verified data, field validation, stronger access control, managed deployment and an actual notification channel.</w:t>
      </w:r>
    </w:p>
    <w:sectPr w:rsidR="00FC693F" w:rsidRPr="0006063C" w:rsidSect="00034616">
      <w:pgSz w:w="11909" w:h="16834"/>
      <w:pgMar w:top="1123"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1C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31" w:hanging="158"/>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