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B8860B"/>
          <w:sz w:val="20"/>
          <w:szCs w:val="20"/>
        </w:rPr>
        <w:t xml:space="preserve">REVIEW-1  ·  DATA ANALYTICS &amp; VISUALISATION – 1 (24DSB3101)</w:t>
      </w:r>
    </w:p>
    <w:p>
      <w:pPr>
        <w:spacing w:after="160"/>
      </w:pPr>
      <w:r>
        <w:rPr>
          <w:b/>
          <w:bCs/>
          <w:color w:val="1F2A44"/>
          <w:sz w:val="36"/>
          <w:szCs w:val="36"/>
        </w:rPr>
        <w:t xml:space="preserve">AI-Driven Loan Default Prediction Using Banking Analytics</w:t>
      </w:r>
    </w:p>
    <w:p>
      <w:pPr>
        <w:pBdr>
          <w:bottom w:val="single" w:color="CCCCCC" w:sz="6" w:space="8"/>
        </w:pBdr>
        <w:spacing w:after="300"/>
      </w:pPr>
      <w:r>
        <w:rPr>
          <w:i/>
          <w:iCs/>
          <w:color w:val="555555"/>
          <w:sz w:val="22"/>
          <w:szCs w:val="22"/>
        </w:rPr>
        <w:t xml:space="preserve">Explainable Machine Learning for Credit Risk and Default Prediction in Banking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1. Refined Title</w:t>
      </w:r>
    </w:p>
    <w:p>
      <w:pPr>
        <w:spacing w:after="140" w:line="300"/>
      </w:pPr>
      <w:r>
        <w:rPr>
          <w:b/>
          <w:bCs/>
          <w:color w:val="222222"/>
          <w:sz w:val="22"/>
          <w:szCs w:val="22"/>
        </w:rPr>
        <w:t xml:space="preserve">AI-Driven Loan Default Prediction Using Banking Analytics: Explainable Machine Learning for Credit Risk Assessment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The title reflects the two core threads carried through the project: banking-analytics-driven loan default prediction, and explainability as a first-class requirement rather than an afterthought — a distinction the literature survey below shows is still uncommon.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2. Problem Statement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Manual underwriting and legacy scorecards cannot capture the complex, non-linear relationships between borrower behaviour, repayment history, and macroeconomic conditions. Traditional models routinely misclassify risk, directly inflating non-performing assets (NPAs) and reducing capital efficiency for banks and NBFCs. Where institutions do adopt machine learning, most models offer no explanation for a decision, making them hard to trust, audit, or defend to a regulator. Default cases are also a small minority of records, and most studies validate on a single dataset, limiting how well findings generalise across lending contexts.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3. Literature Survey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Eleven recent studies (2024–2026) from IEEE, ACM, and Springer venues were reviewed: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60"/>
        <w:gridCol w:w="6000"/>
      </w:tblGrid>
      <w:tr>
        <w:trPr>
          <w:tblHeader/>
        </w:trPr>
        <w:tc>
          <w:tcPr>
            <w:tcW w:type="dxa" w:w="5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Study &amp; Venue</w:t>
            </w:r>
          </w:p>
        </w:tc>
        <w:tc>
          <w:tcPr>
            <w:tcW w:type="dxa" w:w="6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 / Contribution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Aruleba &amp; Sun (2024), IEEE Access, vol. 12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Ensemble classifiers (Random Forest, AdaBoost, XGBoost, LightGBM) combined with SMOTE-ENN resampling and SHAP explanations on German and Australian credit datasets.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Zhu et al. (2024), IEEE ICETCI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LightGBM–XGBoost–local-ensemble stacking for credit default prediction; ensembling lifts detection over single learners.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Vihurskyi (2024), IEEE ICDCECE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AI applied to credit-card fraud/default detection to improve interpretability and analyst trust in flagged cases.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Gonaygunta et al. (2025), IEEE SIEDS, pp. 444–449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Interpretable credit-scoring models using explainable AI to empower end users in financial risk assessment.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Hartomo, Arthur &amp; Nataliani (2025), IEEE Access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Weighted-loss TabTransformer integrating explainability for imbalanced credit-risk datasets.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ACM GAIIS (2025)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Seven-model comparison (Decision Tree, Random Forest, AdaBoost, Bagging, XGBoost, LightGBM, CatBoost); CatBoost reported best on AUC.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ACM CSAIDE (2025)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ML on the Home Credit dataset (1.53M records, 3.14% default rate) for consumer-finance risk.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Demma Wube et al. (2024), Springer CCIS vol. 2069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Systematic review of deep-learning vs. classical ML techniques for credit scoring, PanAfriConAI 2023.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Computational Economics (2025), Springer, DOI 10.1007/s10614-025-10962-9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XGBoost with post-hoc SHAP explanations for early loan-default prediction on P2P lending data.</w:t>
            </w:r>
          </w:p>
        </w:tc>
      </w:tr>
      <w:tr>
        <w:tc>
          <w:tcPr>
            <w:tcW w:type="dxa" w:w="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Liang et al. (2025), Computational Economics, Springer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Explainable deep learning for credit-risk analysis of technology-based small and micro enterprises.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Kofidis, Cocianu &amp; Uscatu (2026), Springer LNNS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Comparative study of balancing techniques (SMOTE family) across CNN, LSTM, Random Forest, and SVM for loan default.</w:t>
            </w:r>
          </w:p>
        </w:tc>
      </w:tr>
    </w:tbl>
    <w:p>
      <w:pPr>
        <w:spacing w:after="100" w:before="160"/>
      </w:pPr>
    </w:p>
    <w:p>
      <w:pPr>
        <w:spacing w:after="140" w:line="300"/>
      </w:pPr>
      <w:r>
        <w:rPr>
          <w:color w:val="222222"/>
          <w:sz w:val="22"/>
          <w:szCs w:val="22"/>
        </w:rPr>
        <w:t xml:space="preserve">Consistent pattern across all 11 studies: strong single-model or single-dataset accuracy gains, but explainability is usually bolted on to one “winning” model rather than compared across models, datasets, or lending contexts.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4. Research Gaps Identified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Single-dataset validation – Papers 1, 3, 5, 6, 9, 10 each validate on one dataset (German credit, Home Credit, or a single P2P platform) — findings rarely transfer across lending environments.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Explainability applied late – SHAP/LIME (papers 1, 3, 5, 6, 7, 9) is typically bolted on to a single “winning” model after selection, not used to compare candidate models during development.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Accuracy–interpretability trade-off – Deep/transformer models (papers 5, 10) push accuracy up, but interpretability studies (paper 8) show this often comes at the cost of transparency for non-technical stakeholders.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 decision-support layer – Almost none of the surveyed work (papers 1–11) packages results into a dashboard loan officers can actually use — most stop at reporting Accuracy/F1/AUC tables.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5. Objectives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Consolidate benchmark data – Integrate Lending Club, Statlog German Credit, and Home Credit datasets into one structured, analysis-ready pipeline using schema alignment and unified feature encoding.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Perform deep, decision-grade EDA – Run 12+ analytical techniques — missingness, outliers, class-imbalance, and correlation analysis — before any modelling, using univariate and multivariate statistical methods.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Engineer risk-aware features – Derive debt-to-income ratio, credit-utilization, and repayment-consistency features using domain-driven feature engineering to sharpen predictive signal.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Benchmark five ML models – Train and compare Logistic Regression, Decision Tree, Random Forest, XGBoost, and CatBoost under identical, cross-validated conditions.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Make predictions explainable – Apply SHAP and LIME to the best model so every default-risk score has an auditable, human-readable reason.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Deliver a usable dashboard – Package results into a visualization dashboard so loan officers see the prediction and the reasoning together.</w:t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6. Novelty / Innovation, Feasibility, and Project Plan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6.1 Novelty / Innovation</w:t>
      </w:r>
    </w:p>
    <w:p>
      <w:pPr>
        <w:spacing w:after="140" w:line="300"/>
      </w:pPr>
      <w:r>
        <w:rPr>
          <w:color w:val="222222"/>
          <w:sz w:val="22"/>
          <w:szCs w:val="22"/>
        </w:rPr>
        <w:t xml:space="preserve">Each identified gap maps to a specific design decision that is new relative to the surveyed work: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Single-dataset validation → Three benchmark datasets combined — Lending Club, Statlog German Credit, Home Credit — spanning traditional, classical, and thin-file/alternative lending.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Explainability applied late → SHAP and LIME run across all five candidate models during comparison, not only on the final chosen model.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Accuracy vs. interpretability trade-off → Five models spanning simple-to-complex (Logistic Regression → CatBoost) benchmarked on the same metrics, letting stakeholders choose their own point on the trade-off curve.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No decision-support layer → A visualization dashboard (heatmaps, boxplots, feature-importance charts) turns model output into something a loan officer can act on, not just a metrics table.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6.2 Feasibility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Data feasibility – 3 datasets are public, well-documented, and widely cited in credit-risk research; combined size supports robust train/test/validation splits.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Technical feasibility – All five ML models have mature, well-supported Python libraries; SHAP and LIME are standard, actively maintained explainability toolkits; class imbalance is addressable (SMOTE, class-weighting).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Economic feasibility – Built entirely on open-source tools and free/public datasets — no licensing cost.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2"/>
          <w:szCs w:val="22"/>
        </w:rPr>
        <w:t xml:space="preserve">Time feasibility – Scoped to fit the semester timeline with buffer before final submission; a modular pipeline lets EDA, modelling, and XAI stages proceed in parallel.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6.3 Project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60"/>
      </w:tblGrid>
      <w:tr>
        <w:trPr>
          <w:tblHeader/>
        </w:trPr>
        <w:tc>
          <w:tcPr>
            <w:tcW w:type="dxa" w:w="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5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Acquisition &amp; Cleaning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Collect and merge 3 datasets, handle missing values, duplicates, encoding.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Exploratory Data Analysis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12+ techniques: univariate through multivariate, correlation, imbalance analysis.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 Engineering &amp; Selection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DTI ratio, credit utilization, mutual information, RFE.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Model Building &amp; Comparison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Train LR, Decision Tree, Random Forest, XGBoost, CatBoost.</w:t>
            </w:r>
          </w:p>
        </w:tc>
      </w:tr>
      <w:t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Explainability &amp; Evaluation</w:t>
            </w:r>
          </w:p>
        </w:tc>
        <w:tc>
          <w:tcPr>
            <w:tcW w:type="dxa" w:w="5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SHAP + LIME analysis; Accuracy/Precision/Recall/F1/ROC-AUC.</w:t>
            </w:r>
          </w:p>
        </w:tc>
      </w:tr>
      <w:tr>
        <w:tc>
          <w:tcPr>
            <w:tcW w:type="dxa" w:w="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&amp; Final Reporting</w:t>
            </w:r>
          </w:p>
        </w:tc>
        <w:tc>
          <w:tcPr>
            <w:tcW w:type="dxa" w:w="5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Build visualization dashboard; consolidate findings for submission.</w:t>
            </w:r>
          </w:p>
        </w:tc>
      </w:tr>
    </w:tbl>
    <w:p>
      <w:pPr>
        <w:spacing w:before="60"/>
      </w:pP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2A44"/>
          <w:sz w:val="30"/>
          <w:szCs w:val="30"/>
        </w:rPr>
        <w:t xml:space="preserve">7. Team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6200"/>
      </w:tblGrid>
      <w:tr>
        <w:trPr>
          <w:tblHeader/>
        </w:trPr>
        <w:tc>
          <w:tcPr>
            <w:tcW w:type="dxa" w:w="316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2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Tejasree Sagiraju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Sruthi Bhatraju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B. Bhavya Sai Sree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Guide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K. Swapnika</w:t>
            </w:r>
          </w:p>
        </w:tc>
      </w:tr>
      <w:tr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Course</w:t>
            </w:r>
          </w:p>
        </w:tc>
        <w:tc>
          <w:tcPr>
            <w:tcW w:type="dxa" w:w="6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Analytics &amp; Visualisation – 1 (24DSB3101), A.Y. 2026–2027</w:t>
            </w:r>
          </w:p>
        </w:tc>
      </w:tr>
      <w:tr>
        <w:tc>
          <w:tcPr>
            <w:tcW w:type="dxa" w:w="31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</w:t>
            </w:r>
          </w:p>
        </w:tc>
        <w:tc>
          <w:tcPr>
            <w:tcW w:type="dxa" w:w="6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Review-1 Presentation · 5 August 2026</w:t>
            </w:r>
          </w:p>
        </w:tc>
      </w:tr>
    </w:tbl>
    <w:p>
      <w:r>
        <w:br w:type="page"/>
      </w:r>
    </w:p>
    <w:p>
      <w:r>
        <w:rPr>
          <w:b/>
          <w:sz w:val="32"/>
        </w:rPr>
        <w:t>8. References / Source Links</w:t>
      </w:r>
    </w:p>
    <w:p>
      <w:pPr>
        <w:spacing w:after="120"/>
      </w:pPr>
      <w:r>
        <w:t xml:space="preserve">[1] Aruleba, I., &amp; Sun, Y. (2024). Effective Credit Risk Prediction Using Ensemble Classifiers With Model Explanation. IEEE Access, 12, 115015–115025. </w:t>
      </w:r>
      <w:hyperlink r:id="rId8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[2] Zhu, M., Zhang, Y., Gong, Y., et al. (2024). Ensemble Methodology: Innovations in Credit Default Prediction Using LightGBM, XGBoost, and LocalEnsemble. 2024 IEEE ICETCI. </w:t>
      </w:r>
      <w:hyperlink r:id="rId9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[3] Gonaygunta, H., Maturi, M. H., Yadulla, A. R., et al. (2025). Utilizing Explainable AI in Financial Risk Assessment: Enhancing User Empowerment through Interpretable Credit Scoring Models. 2025 SIEDS, 444–449. </w:t>
      </w:r>
      <w:hyperlink r:id="rId10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[4] Hartomo, K. D., Arthur, C., &amp; Nataliani, Y. (2025). A Novel Weighted Loss TabTransformer Integrating Explainable AI for Imbalanced Credit Risk Datasets. IEEE Access, 13, 31045–31056. </w:t>
      </w:r>
      <w:hyperlink r:id="rId11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[5] Monje, L., Carrasco, R. A., &amp; Sánchez-Montañés, M. (2026). Machine Learning XAI for Early Loan Default Prediction. Computational Economics, 67, 4033–4062. </w:t>
      </w:r>
      <w:hyperlink r:id="rId12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[6] Kofidis, K., Cocianu, C. L., &amp; Uscatu, C. (2026). Dealing with Imbalanced Data for Loan Default Prediction: A Comparative Study Across Balancing Techniques for CNN, LSTM, RF, and SVM Models. </w:t>
      </w:r>
      <w:hyperlink r:id="rId13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[7] Chen, T., &amp; Guestrin, C. (2016). XGBoost: A Scalable Tree Boosting System. Proceedings of the 22nd ACM SIGKDD International Conference on Knowledge Discovery and Data Mining, 785–794. </w:t>
      </w:r>
      <w:hyperlink r:id="rId14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[8] Lundberg, S. M., &amp; Lee, S.-I. (2017). A Unified Approach to Interpreting Model Predictions. Advances in Neural Information Processing Systems 30 (SHAP). </w:t>
      </w:r>
      <w:hyperlink r:id="rId15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[9] Ribeiro, M. T., Singh, S., &amp; Guestrin, C. (2016). “Why Should I Trust You?”: Explaining the Predictions of Any Classifier (LIME). Proceedings of KDD 2016. </w:t>
      </w:r>
      <w:hyperlink r:id="rId16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[10] Chawla, N. V., Bowyer, K. W., Hall, L. O., &amp; Kegelmeyer, W. P. (2002). SMOTE: Synthetic Minority Over-sampling Technique. Journal of Artificial Intelligence Research, 16, 321–357. </w:t>
      </w:r>
      <w:hyperlink r:id="rId17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[11] Lending Club / LendingClub loan dataset reference used in credit-risk research. </w:t>
      </w:r>
      <w:hyperlink r:id="rId18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[12] UCI Machine Learning Repository – Statlog (German Credit Data) dataset. </w:t>
      </w:r>
      <w:hyperlink r:id="rId19">
        <w:r>
          <w:rPr>
            <w:color w:val="0563C1"/>
            <w:u w:val="single"/>
          </w:rPr>
          <w:t>Link</w:t>
        </w:r>
      </w:hyperlink>
    </w:p>
    <w:p>
      <w:pPr>
        <w:spacing w:after="120"/>
      </w:pPr>
      <w:r>
        <w:t xml:space="preserve">[13] Kaggle – Home Credit Default Risk dataset. </w:t>
      </w:r>
      <w:hyperlink r:id="rId20">
        <w:r>
          <w:rPr>
            <w:color w:val="0563C1"/>
            <w:u w:val="single"/>
          </w:rPr>
          <w:t>Link</w:t>
        </w:r>
      </w:hyperlink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doi.org/10.1109/ACCESS.2024.3445308" TargetMode="External"/><Relationship Id="rId9" Type="http://schemas.openxmlformats.org/officeDocument/2006/relationships/hyperlink" Target="https://doi.org/10.1109/ICETCI61221.2024.10594630" TargetMode="External"/><Relationship Id="rId10" Type="http://schemas.openxmlformats.org/officeDocument/2006/relationships/hyperlink" Target="https://doi.org/10.1109/SIEDS65500.2025.11021190" TargetMode="External"/><Relationship Id="rId11" Type="http://schemas.openxmlformats.org/officeDocument/2006/relationships/hyperlink" Target="https://doi.org/10.1109/ACCESS.2025.3541878" TargetMode="External"/><Relationship Id="rId12" Type="http://schemas.openxmlformats.org/officeDocument/2006/relationships/hyperlink" Target="https://doi.org/10.1007/s10614-025-10962-9" TargetMode="External"/><Relationship Id="rId13" Type="http://schemas.openxmlformats.org/officeDocument/2006/relationships/hyperlink" Target="https://doi.org/10.1007/978-981-95-6136-0_34" TargetMode="External"/><Relationship Id="rId14" Type="http://schemas.openxmlformats.org/officeDocument/2006/relationships/hyperlink" Target="https://doi.org/10.1145/2939672.2939785" TargetMode="External"/><Relationship Id="rId15" Type="http://schemas.openxmlformats.org/officeDocument/2006/relationships/hyperlink" Target="https://proceedings.neurips.cc/paper/2017/hash/8a20a8621978632d76c43dfd28b67767-Abstract.html" TargetMode="External"/><Relationship Id="rId16" Type="http://schemas.openxmlformats.org/officeDocument/2006/relationships/hyperlink" Target="https://doi.org/10.1145/2939672.2939778" TargetMode="External"/><Relationship Id="rId17" Type="http://schemas.openxmlformats.org/officeDocument/2006/relationships/hyperlink" Target="https://doi.org/10.1613/jair.953" TargetMode="External"/><Relationship Id="rId18" Type="http://schemas.openxmlformats.org/officeDocument/2006/relationships/hyperlink" Target="https://www.kaggle.com/datasets/ethon0426/lending-club-20072020q1" TargetMode="External"/><Relationship Id="rId19" Type="http://schemas.openxmlformats.org/officeDocument/2006/relationships/hyperlink" Target="https://archive.ics.uci.edu/dataset/144/statlog+german+credit+data" TargetMode="External"/><Relationship Id="rId20" Type="http://schemas.openxmlformats.org/officeDocument/2006/relationships/hyperlink" Target="https://www.kaggle.com/competitions/home-credit-default-risk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2026-08-08T08:32:32.326Z</dcterms:created>
  <dcterms:modified xsi:type="dcterms:W3CDTF">2026-08-08T08:32:32.344Z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