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Results</w:t>
      </w:r>
    </w:p>
    <w:p>
      <w:r>
        <w:rPr>
          <w:i/>
        </w:rPr>
        <w:t>AI-Driven Loan Default Prediction — contents of the results/ folder</w:t>
      </w:r>
    </w:p>
    <w:p>
      <w:pPr>
        <w:pStyle w:val="Heading1"/>
      </w:pPr>
      <w:r>
        <w:t>1. Model Performance Metrics (model_metrics.json)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987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ROC-AUC</w:t>
            </w:r>
          </w:p>
        </w:tc>
        <w:tc>
          <w:tcPr>
            <w:tcW w:type="dxa" w:w="1987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PR-AUC</w:t>
            </w:r>
          </w:p>
        </w:tc>
        <w:tc>
          <w:tcPr>
            <w:tcW w:type="dxa" w:w="1987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F1</w:t>
            </w:r>
          </w:p>
        </w:tc>
        <w:tc>
          <w:tcPr>
            <w:tcW w:type="dxa" w:w="1987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Brier Score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20"/>
              </w:rPr>
              <w:t>Logistic Regression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0.7344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0.4266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0.4663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0.2093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20"/>
              </w:rPr>
              <w:t>Random Forest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0.7099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0.3984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0.4178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0.1755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20"/>
              </w:rPr>
              <w:t>Hist Gradient Boosting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0.6975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0.3764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0.2541</w:t>
            </w:r>
          </w:p>
        </w:tc>
        <w:tc>
          <w:tcPr>
            <w:tcW w:type="dxa" w:w="1987"/>
          </w:tcPr>
          <w:p>
            <w:r/>
            <w:r>
              <w:rPr>
                <w:sz w:val="20"/>
              </w:rPr>
              <w:t>0.1592</w:t>
            </w:r>
          </w:p>
        </w:tc>
      </w:tr>
    </w:tbl>
    <w:p/>
    <w:p>
      <w:r>
        <w:t>Highest ROC-AUC: Logistic Regression (0.7344). Lowest Brier score (best calibration): Hist Gradient Boosting (0.1592).</w:t>
      </w:r>
    </w:p>
    <w:p>
      <w:pPr>
        <w:pStyle w:val="Heading1"/>
      </w:pPr>
      <w:r>
        <w:t>2. Feature Audit (feature_audit.csv)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484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normalized</w:t>
            </w:r>
          </w:p>
        </w:tc>
        <w:tc>
          <w:tcPr>
            <w:tcW w:type="dxa" w:w="2484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post_funding</w:t>
            </w:r>
          </w:p>
        </w:tc>
        <w:tc>
          <w:tcPr>
            <w:tcW w:type="dxa" w:w="2484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decision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annual_inc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annual_inc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RETAIN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dti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dti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RETAIN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fico_score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fico_score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RETAIN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emp_length_years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emp_length_years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RETAIN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RETAIN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state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state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RETAIN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loan_status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loan_status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RETAIN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20"/>
              </w:rPr>
              <w:t>last_payment_amount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last_payment_amount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2484"/>
          </w:tcPr>
          <w:p>
            <w:r/>
            <w:r>
              <w:rPr>
                <w:sz w:val="20"/>
              </w:rPr>
              <w:t>DROP</w:t>
            </w:r>
          </w:p>
        </w:tc>
      </w:tr>
    </w:tbl>
    <w:p>
      <w:pPr>
        <w:pStyle w:val="Heading1"/>
      </w:pPr>
      <w:r>
        <w:t>3. Raw model_metrics.json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"model": "logistic_regression",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"roc_auc": 0.7344055918982393,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"pr_auc": 0.426573131125575,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"f1": 0.466265441875198,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"brier_score": 0.20932464117382002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"model": "random_forest",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"roc_auc": 0.7098700344115363,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"pr_auc": 0.39843111214421356,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"f1": 0.4178173719376392,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"brier_score": 0.17548397599469998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"model": "hist_gradient_boosting",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"roc_auc": 0.6975033000918082,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"pr_auc": 0.37644868278079807,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"f1": 0.2541363335539378,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"brier_score": 0.15920741744679126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</w:t>
      </w:r>
    </w:p>
    <w:p>
      <w:pPr>
        <w:pStyle w:val="Heading1"/>
      </w:pPr>
      <w:r>
        <w:t>4. Raw feature_audit.csv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column,normalized,post_funding,decision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annual_inc,annual_inc,False,RETAIN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dti,dti,False,RETAIN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fico_score,fico_score,False,RETAIN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emp_length_years,emp_length_years,False,RETAIN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purpose,purpose,False,RETAIN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state,state,False,RETAIN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loan_status,loan_status,False,RETAIN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last_payment_amount,last_payment_amount,True,DROP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Heading1"/>
      </w:pPr>
      <w:r>
        <w:t>5. results/README.md</w:t>
      </w:r>
    </w:p>
    <w:p>
      <w:r>
        <w:t>The README.md file in results/ is an empty placeholder in the repository.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