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ephjhg1ls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Consumer Credit Health Scorecard — Key Findings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sz w:val="24"/>
          <w:szCs w:val="24"/>
          <w:rtl w:val="0"/>
        </w:rPr>
        <w:t xml:space="preserve"> 16.9M CFPB complaints + Federal Reserve delinquency data | 2011–2026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states need attention right now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Texas and Florida are the most statistically abnormal states, nearly 4 standard deviations above the national average in complaint volume and still growing every month.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Georgia looks average by raw count but has the highest complaint rate per person in the country at 9,455 per 100,000 residents. Standard dashboards would miss this entirely.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Mississippi is the sleeper risk. Low total complaints historically but growing at 46% over the last 3 months. The states to watch are not always the loudest ones today.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caused the January 2025 spike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Complaints jumped 231% year over year in January 2025. This was not a credit crisis. It was caused by a CFPB regulatory action against Navy Federal Credit Union. Delinquency rates actually went down during this period confirming the spike was not driven by consumer financial stress.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product with the biggest gap between complaints and resolution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Debt collection generates the second highest complaint volume but only 0.2% of complaints result in any money back to the consumer. Credit card complaints result in monetary relief 13% of the time.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Prioritize TX, FL, MS, and AL for tighter underwriting review. Watch Mississippi specifically. It is accelerating faster than any other state and would be invisible on a standard volume dashboard.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