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color w:val="6B6480"/>
          <w:spacing w:val="20"/>
          <w:sz w:val="22"/>
          <w:szCs w:val="22"/>
        </w:rPr>
        <w:t xml:space="preserve">ERP MODULE</w:t>
      </w:r>
    </w:p>
    <w:p>
      <w:pPr>
        <w:spacing w:after="400"/>
        <w:jc w:val="center"/>
      </w:pPr>
      <w:r>
        <w:rPr>
          <w:b/>
          <w:bCs/>
          <w:color w:val="1F1147"/>
          <w:sz w:val="32"/>
          <w:szCs w:val="32"/>
        </w:rPr>
        <w:t xml:space="preserve">Sales and Customer Service Management</w:t>
      </w:r>
    </w:p>
    <w:p>
      <w:pPr>
        <w:spacing w:after="120"/>
        <w:jc w:val="center"/>
      </w:pPr>
      <w:r>
        <w:rPr>
          <w:color w:val="6B6480"/>
          <w:spacing w:val="20"/>
          <w:sz w:val="22"/>
          <w:szCs w:val="22"/>
        </w:rPr>
        <w:t xml:space="preserve">ASSIGNED SUB-MODULE</w:t>
      </w:r>
    </w:p>
    <w:p>
      <w:pPr>
        <w:spacing w:after="400"/>
        <w:jc w:val="center"/>
      </w:pPr>
      <w:r>
        <w:rPr>
          <w:b/>
          <w:bCs/>
          <w:color w:val="5B4FD1"/>
          <w:sz w:val="40"/>
          <w:szCs w:val="40"/>
        </w:rPr>
        <w:t xml:space="preserve">Sales Performance Reporting and Forecast Management</w:t>
      </w:r>
    </w:p>
    <w:p>
      <w:pPr>
        <w:spacing w:after="1000"/>
        <w:jc w:val="center"/>
      </w:pPr>
      <w:r>
        <w:rPr>
          <w:i/>
          <w:iCs/>
          <w:color w:val="6B6480"/>
          <w:sz w:val="24"/>
          <w:szCs w:val="24"/>
        </w:rPr>
        <w:t xml:space="preserve">Initial Design Documentation — Part I</w:t>
      </w:r>
    </w:p>
    <w:p>
      <w:pPr>
        <w:spacing w:after="80"/>
        <w:jc w:val="center"/>
      </w:pPr>
      <w:r>
        <w:rPr>
          <w:b/>
          <w:bCs/>
          <w:color w:val="1F1147"/>
          <w:sz w:val="24"/>
          <w:szCs w:val="24"/>
        </w:rPr>
        <w:t xml:space="preserve">Group [Team Name]</w:t>
      </w:r>
    </w:p>
    <w:p>
      <w:pPr>
        <w:spacing w:after="40"/>
        <w:jc w:val="center"/>
      </w:pPr>
      <w:r>
        <w:rPr>
          <w:color w:val="444444"/>
          <w:sz w:val="20"/>
          <w:szCs w:val="20"/>
        </w:rPr>
        <w:t xml:space="preserve">Members: [Member 1], [Member 2], [Member 3], [Member 4], [Member 5]</w:t>
      </w:r>
    </w:p>
    <w:p>
      <w:pPr>
        <w:spacing w:after="40"/>
        <w:jc w:val="center"/>
      </w:pPr>
      <w:r>
        <w:rPr>
          <w:color w:val="444444"/>
          <w:sz w:val="20"/>
          <w:szCs w:val="20"/>
        </w:rPr>
        <w:t xml:space="preserve">[Course / Section]</w:t>
      </w:r>
    </w:p>
    <w:p>
      <w:pPr>
        <w:jc w:val="center"/>
      </w:pPr>
      <w:r>
        <w:rPr>
          <w:color w:val="444444"/>
          <w:sz w:val="20"/>
          <w:szCs w:val="20"/>
        </w:rPr>
        <w:t xml:space="preserve">[Date]</w:t>
      </w:r>
    </w:p>
    <w:p>
      <w:r>
        <w:br w:type="page"/>
      </w:r>
    </w:p>
    <w:p>
      <w:pPr>
        <w:pStyle w:val="Heading1"/>
        <w:spacing w:after="160" w:before="360"/>
      </w:pPr>
      <w:r>
        <w:rPr>
          <w:b/>
          <w:bCs/>
          <w:color w:val="1F1147"/>
          <w:sz w:val="30"/>
          <w:szCs w:val="30"/>
        </w:rPr>
        <w:t xml:space="preserve">I. Introduction</w:t>
      </w:r>
    </w:p>
    <w:p>
      <w:pPr>
        <w:spacing w:after="200" w:line="300"/>
      </w:pPr>
      <w:r>
        <w:rPr>
          <w:color w:val="222222"/>
          <w:sz w:val="22"/>
          <w:szCs w:val="22"/>
        </w:rPr>
        <w:t xml:space="preserve">This document presents the initial design of our team's assigned sub-module within the larger Sales and Customer Service Management ERP module. The overall module is composed of four sub-modules, each assigned to a different function within the sales and customer lifecycle:</w:t>
      </w:r>
    </w:p>
    <w:p>
      <w:pPr>
        <w:pStyle w:val="ListParagraph"/>
        <w:numPr>
          <w:ilvl w:val="0"/>
          <w:numId w:val="2"/>
        </w:numPr>
        <w:spacing w:after="120" w:line="280"/>
      </w:pPr>
      <w:r>
        <w:rPr>
          <w:b/>
          <w:bCs/>
          <w:color w:val="1F1147"/>
          <w:sz w:val="22"/>
          <w:szCs w:val="22"/>
        </w:rPr>
        <w:t xml:space="preserve">Sales Order Management — </w:t>
      </w:r>
      <w:r>
        <w:rPr>
          <w:color w:val="222222"/>
          <w:sz w:val="22"/>
          <w:szCs w:val="22"/>
        </w:rPr>
        <w:t xml:space="preserve">handles the creation, processing, and fulfillment of customer sales orders.</w:t>
      </w:r>
    </w:p>
    <w:p>
      <w:pPr>
        <w:pStyle w:val="ListParagraph"/>
        <w:numPr>
          <w:ilvl w:val="0"/>
          <w:numId w:val="2"/>
        </w:numPr>
        <w:spacing w:after="120" w:line="280"/>
      </w:pPr>
      <w:r>
        <w:rPr>
          <w:b/>
          <w:bCs/>
          <w:color w:val="1F1147"/>
          <w:sz w:val="22"/>
          <w:szCs w:val="22"/>
        </w:rPr>
        <w:t xml:space="preserve">Customer Relationship Management — </w:t>
      </w:r>
      <w:r>
        <w:rPr>
          <w:color w:val="222222"/>
          <w:sz w:val="22"/>
          <w:szCs w:val="22"/>
        </w:rPr>
        <w:t xml:space="preserve">manages customer records, interactions, and account history.</w:t>
      </w:r>
    </w:p>
    <w:p>
      <w:pPr>
        <w:pStyle w:val="ListParagraph"/>
        <w:numPr>
          <w:ilvl w:val="0"/>
          <w:numId w:val="2"/>
        </w:numPr>
        <w:spacing w:after="120" w:line="280"/>
      </w:pPr>
      <w:r>
        <w:rPr>
          <w:b/>
          <w:bCs/>
          <w:color w:val="1F1147"/>
          <w:sz w:val="22"/>
          <w:szCs w:val="22"/>
        </w:rPr>
        <w:t xml:space="preserve">Sales Performance Reporting and Forecast Management — </w:t>
      </w:r>
      <w:r>
        <w:rPr>
          <w:color w:val="222222"/>
          <w:sz w:val="22"/>
          <w:szCs w:val="22"/>
        </w:rPr>
        <w:t xml:space="preserve">our assigned sub-module; tracks sales performance against targets and projects future revenue.</w:t>
      </w:r>
    </w:p>
    <w:p>
      <w:pPr>
        <w:pStyle w:val="ListParagraph"/>
        <w:numPr>
          <w:ilvl w:val="0"/>
          <w:numId w:val="2"/>
        </w:numPr>
        <w:spacing w:after="120" w:line="280"/>
      </w:pPr>
      <w:r>
        <w:rPr>
          <w:b/>
          <w:bCs/>
          <w:color w:val="1F1147"/>
          <w:sz w:val="22"/>
          <w:szCs w:val="22"/>
        </w:rPr>
        <w:t xml:space="preserve">After-Sales Support and Customer Service Management — </w:t>
      </w:r>
      <w:r>
        <w:rPr>
          <w:color w:val="222222"/>
          <w:sz w:val="22"/>
          <w:szCs w:val="22"/>
        </w:rPr>
        <w:t xml:space="preserve">handles post-sale support tickets and customer service requests.</w:t>
      </w:r>
    </w:p>
    <w:p>
      <w:pPr>
        <w:spacing w:after="200" w:line="300"/>
      </w:pPr>
      <w:r>
        <w:rPr>
          <w:color w:val="222222"/>
          <w:sz w:val="22"/>
          <w:szCs w:val="22"/>
        </w:rPr>
        <w:t xml:space="preserve">The remainder of this document focuses on Sales Performance Reporting and Forecast Management — the sub-module our group is responsible for designing, building, and integrating with a live database.</w:t>
      </w:r>
    </w:p>
    <w:p>
      <w:pPr>
        <w:pStyle w:val="Heading1"/>
        <w:spacing w:after="160" w:before="360"/>
      </w:pPr>
      <w:r>
        <w:rPr>
          <w:b/>
          <w:bCs/>
          <w:color w:val="1F1147"/>
          <w:sz w:val="30"/>
          <w:szCs w:val="30"/>
        </w:rPr>
        <w:t xml:space="preserve">II. Context of the Module</w:t>
      </w:r>
    </w:p>
    <w:p>
      <w:pPr>
        <w:spacing w:after="200" w:line="300"/>
      </w:pPr>
      <w:r>
        <w:rPr>
          <w:color w:val="222222"/>
          <w:sz w:val="22"/>
          <w:szCs w:val="22"/>
        </w:rPr>
        <w:t xml:space="preserve">Sales Performance Reporting and Forecast Management is the analytics layer of the ERP system. It gives sales managers one place to monitor revenue against targets, generate ad-hoc performance reports, project future sales, and get notified when a rep, region, or product falls off pace.</w:t>
      </w:r>
    </w:p>
    <w:p>
      <w:pPr>
        <w:spacing w:after="200" w:line="300"/>
      </w:pPr>
      <w:r>
        <w:rPr>
          <w:color w:val="222222"/>
          <w:sz w:val="22"/>
          <w:szCs w:val="22"/>
        </w:rPr>
        <w:t xml:space="preserve">Four core functions were assigned to this sub-module: reporting, target tracking, forecasting, and alerting. Our design aligns directly to these functions, with each one built as its own screen inside a single shared navigation shell:</w:t>
      </w:r>
    </w:p>
    <w:p>
      <w:pPr>
        <w:pStyle w:val="ListParagraph"/>
        <w:numPr>
          <w:ilvl w:val="0"/>
          <w:numId w:val="2"/>
        </w:numPr>
        <w:spacing w:after="120" w:line="280"/>
      </w:pPr>
      <w:r>
        <w:rPr>
          <w:b/>
          <w:bCs/>
          <w:color w:val="1F1147"/>
          <w:sz w:val="22"/>
          <w:szCs w:val="22"/>
        </w:rPr>
        <w:t xml:space="preserve">Dashboard — </w:t>
      </w:r>
      <w:r>
        <w:rPr>
          <w:color w:val="222222"/>
          <w:sz w:val="22"/>
          <w:szCs w:val="22"/>
        </w:rPr>
        <w:t xml:space="preserve">at-a-glance overview combining all four functions.</w:t>
      </w:r>
    </w:p>
    <w:p>
      <w:pPr>
        <w:pStyle w:val="ListParagraph"/>
        <w:numPr>
          <w:ilvl w:val="0"/>
          <w:numId w:val="2"/>
        </w:numPr>
        <w:spacing w:after="120" w:line="280"/>
      </w:pPr>
      <w:r>
        <w:rPr>
          <w:b/>
          <w:bCs/>
          <w:color w:val="1F1147"/>
          <w:sz w:val="22"/>
          <w:szCs w:val="22"/>
        </w:rPr>
        <w:t xml:space="preserve">Generate Report — </w:t>
      </w:r>
      <w:r>
        <w:rPr>
          <w:color w:val="222222"/>
          <w:sz w:val="22"/>
          <w:szCs w:val="22"/>
        </w:rPr>
        <w:t xml:space="preserve">the reporting function, as a filterable report builder.</w:t>
      </w:r>
    </w:p>
    <w:p>
      <w:pPr>
        <w:pStyle w:val="ListParagraph"/>
        <w:numPr>
          <w:ilvl w:val="0"/>
          <w:numId w:val="2"/>
        </w:numPr>
        <w:spacing w:after="120" w:line="280"/>
      </w:pPr>
      <w:r>
        <w:rPr>
          <w:b/>
          <w:bCs/>
          <w:color w:val="1F1147"/>
          <w:sz w:val="22"/>
          <w:szCs w:val="22"/>
        </w:rPr>
        <w:t xml:space="preserve">Revenue Forecast — </w:t>
      </w:r>
      <w:r>
        <w:rPr>
          <w:color w:val="222222"/>
          <w:sz w:val="22"/>
          <w:szCs w:val="22"/>
        </w:rPr>
        <w:t xml:space="preserve">the forecasting function, with adjustable assumptions.</w:t>
      </w:r>
    </w:p>
    <w:p>
      <w:pPr>
        <w:pStyle w:val="ListParagraph"/>
        <w:numPr>
          <w:ilvl w:val="0"/>
          <w:numId w:val="2"/>
        </w:numPr>
        <w:spacing w:after="120" w:line="280"/>
      </w:pPr>
      <w:r>
        <w:rPr>
          <w:b/>
          <w:bCs/>
          <w:color w:val="1F1147"/>
          <w:sz w:val="22"/>
          <w:szCs w:val="22"/>
        </w:rPr>
        <w:t xml:space="preserve">Targets — </w:t>
      </w:r>
      <w:r>
        <w:rPr>
          <w:color w:val="222222"/>
          <w:sz w:val="22"/>
          <w:szCs w:val="22"/>
        </w:rPr>
        <w:t xml:space="preserve">the target-tracking function, across reps, regions, and products.</w:t>
      </w:r>
    </w:p>
    <w:p>
      <w:pPr>
        <w:pStyle w:val="ListParagraph"/>
        <w:numPr>
          <w:ilvl w:val="0"/>
          <w:numId w:val="2"/>
        </w:numPr>
        <w:spacing w:after="120" w:line="280"/>
      </w:pPr>
      <w:r>
        <w:rPr>
          <w:b/>
          <w:bCs/>
          <w:color w:val="1F1147"/>
          <w:sz w:val="22"/>
          <w:szCs w:val="22"/>
        </w:rPr>
        <w:t xml:space="preserve">Alerts — </w:t>
      </w:r>
      <w:r>
        <w:rPr>
          <w:color w:val="222222"/>
          <w:sz w:val="22"/>
          <w:szCs w:val="22"/>
        </w:rPr>
        <w:t xml:space="preserve">the alerting function, fully backed by database CRUD.</w:t>
      </w:r>
    </w:p>
    <w:p>
      <w:pPr>
        <w:pStyle w:val="Heading1"/>
        <w:spacing w:after="160" w:before="360"/>
      </w:pPr>
      <w:r>
        <w:rPr>
          <w:b/>
          <w:bCs/>
          <w:color w:val="1F1147"/>
          <w:sz w:val="30"/>
          <w:szCs w:val="30"/>
        </w:rPr>
        <w:t xml:space="preserve">III. Front-End Design Overview</w:t>
      </w:r>
    </w:p>
    <w:p>
      <w:pPr>
        <w:spacing w:after="200" w:line="300"/>
      </w:pPr>
      <w:r>
        <w:rPr>
          <w:color w:val="222222"/>
          <w:sz w:val="22"/>
          <w:szCs w:val="22"/>
        </w:rPr>
        <w:t xml:space="preserve">All five screens share one design system rather than being designed independently, so the sub-module feels like one product instead of five disconnected pages:</w:t>
      </w:r>
    </w:p>
    <w:p>
      <w:pPr>
        <w:pStyle w:val="ListParagraph"/>
        <w:numPr>
          <w:ilvl w:val="0"/>
          <w:numId w:val="2"/>
        </w:numPr>
        <w:spacing w:after="120" w:line="280"/>
      </w:pPr>
      <w:r>
        <w:rPr>
          <w:color w:val="222222"/>
          <w:sz w:val="22"/>
          <w:szCs w:val="22"/>
        </w:rPr>
        <w:t xml:space="preserve">A fixed, non-scrolling sidebar for navigation, present on every page.</w:t>
      </w:r>
    </w:p>
    <w:p>
      <w:pPr>
        <w:pStyle w:val="ListParagraph"/>
        <w:numPr>
          <w:ilvl w:val="0"/>
          <w:numId w:val="2"/>
        </w:numPr>
        <w:spacing w:after="120" w:line="280"/>
      </w:pPr>
      <w:r>
        <w:rPr>
          <w:color w:val="222222"/>
          <w:sz w:val="22"/>
          <w:szCs w:val="22"/>
        </w:rPr>
        <w:t xml:space="preserve">One shared card component (rounded corners, consistent padding and shadow) used for every KPI, panel, and table across all five screens.</w:t>
      </w:r>
    </w:p>
    <w:p>
      <w:pPr>
        <w:pStyle w:val="ListParagraph"/>
        <w:numPr>
          <w:ilvl w:val="0"/>
          <w:numId w:val="2"/>
        </w:numPr>
        <w:spacing w:after="120" w:line="280"/>
      </w:pPr>
      <w:r>
        <w:rPr>
          <w:color w:val="222222"/>
          <w:sz w:val="22"/>
          <w:szCs w:val="22"/>
        </w:rPr>
        <w:t xml:space="preserve">One status color language reused everywhere — green for on track, amber for at risk or a warning, red for critical, blue for informational.</w:t>
      </w:r>
    </w:p>
    <w:p>
      <w:pPr>
        <w:pStyle w:val="ListParagraph"/>
        <w:numPr>
          <w:ilvl w:val="0"/>
          <w:numId w:val="2"/>
        </w:numPr>
        <w:spacing w:after="120" w:line="280"/>
      </w:pPr>
      <w:r>
        <w:rPr>
          <w:color w:val="222222"/>
          <w:sz w:val="22"/>
          <w:szCs w:val="22"/>
        </w:rPr>
        <w:t xml:space="preserve">A layout that responds down to mobile width, collapsing the sidebar and stacking content on smaller screens.</w:t>
      </w:r>
    </w:p>
    <w:p>
      <w:pPr>
        <w:pStyle w:val="ListParagraph"/>
        <w:numPr>
          <w:ilvl w:val="0"/>
          <w:numId w:val="2"/>
        </w:numPr>
        <w:spacing w:after="120" w:line="280"/>
      </w:pPr>
      <w:r>
        <w:rPr>
          <w:color w:val="222222"/>
          <w:sz w:val="22"/>
          <w:szCs w:val="22"/>
        </w:rPr>
        <w:t xml:space="preserve">A dark mode toggle that persists across the whole application, not just a single page.</w:t>
      </w:r>
    </w:p>
    <w:p>
      <w:pPr>
        <w:spacing w:after="200" w:line="300"/>
      </w:pPr>
      <w:r>
        <w:rPr>
          <w:color w:val="222222"/>
          <w:sz w:val="22"/>
          <w:szCs w:val="22"/>
        </w:rPr>
        <w:t xml:space="preserve">Individual components — the KPI cards, the filter dropdowns, the data tables, the sliders, the alert cards — are already integrated into this shared shell rather than existing as separate, unconnected prototypes.</w:t>
      </w:r>
    </w:p>
    <w:p>
      <w:pPr>
        <w:pStyle w:val="Heading1"/>
        <w:spacing w:after="160" w:before="360"/>
      </w:pPr>
      <w:r>
        <w:rPr>
          <w:b/>
          <w:bCs/>
          <w:color w:val="1F1147"/>
          <w:sz w:val="30"/>
          <w:szCs w:val="30"/>
        </w:rPr>
        <w:t xml:space="preserve">IV. Individual Functions</w:t>
      </w:r>
    </w:p>
    <w:p>
      <w:pPr>
        <w:spacing w:after="200" w:line="300"/>
      </w:pPr>
      <w:r>
        <w:rPr>
          <w:color w:val="222222"/>
          <w:sz w:val="22"/>
          <w:szCs w:val="22"/>
        </w:rPr>
        <w:t xml:space="preserve">Each core screen was assigned to one member of the group. The core function and the design idea behind each screen are summarized below and will be presented individually during the presentation.</w:t>
      </w:r>
    </w:p>
    <w:p>
      <w:pPr>
        <w:pStyle w:val="Heading2"/>
        <w:spacing w:after="120" w:before="260"/>
      </w:pPr>
      <w:r>
        <w:rPr>
          <w:b/>
          <w:bCs/>
          <w:color w:val="5B4FD1"/>
          <w:sz w:val="24"/>
          <w:szCs w:val="24"/>
        </w:rPr>
        <w:t xml:space="preserve">Dashboard — [Member 1 Name]</w:t>
      </w:r>
    </w:p>
    <w:p>
      <w:pPr>
        <w:spacing w:after="200" w:line="300"/>
      </w:pPr>
      <w:r>
        <w:rPr>
          <w:color w:val="222222"/>
          <w:sz w:val="22"/>
          <w:szCs w:val="22"/>
        </w:rPr>
        <w:t xml:space="preserve">The landing page of the sub-module. Surfaces four live KPI cards (Total Revenue, Target Attainment, Closed Deals, EOQ Forecast), a Revenue vs. Forecast trend chart, a Decision Insight panel drawn from the Alerts table, and a Rep / Region / Product summary table.</w:t>
      </w:r>
    </w:p>
    <w:p>
      <w:pPr>
        <w:spacing w:after="200" w:line="300"/>
      </w:pPr>
      <w:r>
        <w:rPr>
          <w:b/>
          <w:bCs/>
          <w:color w:val="1F1147"/>
          <w:sz w:val="22"/>
          <w:szCs w:val="22"/>
        </w:rPr>
        <w:t xml:space="preserve">Design idea: </w:t>
      </w:r>
      <w:r>
        <w:rPr>
          <w:i/>
          <w:iCs/>
          <w:color w:val="222222"/>
          <w:sz w:val="22"/>
          <w:szCs w:val="22"/>
        </w:rPr>
        <w:t xml:space="preserve">The idea behind the design was to give a manager one screen that answers “how are we doing right now” without navigating anywhere else — every figure on it is computed from the database at the moment the page loads, not hardcoded.</w:t>
      </w:r>
    </w:p>
    <w:p>
      <w:pPr>
        <w:pStyle w:val="Heading2"/>
        <w:spacing w:after="120" w:before="260"/>
      </w:pPr>
      <w:r>
        <w:rPr>
          <w:b/>
          <w:bCs/>
          <w:color w:val="5B4FD1"/>
          <w:sz w:val="24"/>
          <w:szCs w:val="24"/>
        </w:rPr>
        <w:t xml:space="preserve">Generate Report — [Member 2 Name]</w:t>
      </w:r>
    </w:p>
    <w:p>
      <w:pPr>
        <w:spacing w:after="200" w:line="300"/>
      </w:pPr>
      <w:r>
        <w:rPr>
          <w:color w:val="222222"/>
          <w:sz w:val="22"/>
          <w:szCs w:val="22"/>
        </w:rPr>
        <w:t xml:space="preserve">A filter-driven report builder with six live filters (Report Type, Data Range, Compare Against, Region, Product, Rep). The results table stays hidden until Generate Report is clicked, and Clear fully resets every field to a blank state. Results can be exported to CSV.</w:t>
      </w:r>
    </w:p>
    <w:p>
      <w:pPr>
        <w:spacing w:after="200" w:line="300"/>
      </w:pPr>
      <w:r>
        <w:rPr>
          <w:b/>
          <w:bCs/>
          <w:color w:val="1F1147"/>
          <w:sz w:val="22"/>
          <w:szCs w:val="22"/>
        </w:rPr>
        <w:t xml:space="preserve">Design idea: </w:t>
      </w:r>
      <w:r>
        <w:rPr>
          <w:i/>
          <w:iCs/>
          <w:color w:val="222222"/>
          <w:sz w:val="22"/>
          <w:szCs w:val="22"/>
        </w:rPr>
        <w:t xml:space="preserve">Rather than building a separate page for each report type, the screen was designed as a single query builder — one table, one set of filters, three dimensions (rep, region, product) sharing the same engine.</w:t>
      </w:r>
    </w:p>
    <w:p>
      <w:pPr>
        <w:pStyle w:val="Heading2"/>
        <w:spacing w:after="120" w:before="260"/>
      </w:pPr>
      <w:r>
        <w:rPr>
          <w:b/>
          <w:bCs/>
          <w:color w:val="5B4FD1"/>
          <w:sz w:val="24"/>
          <w:szCs w:val="24"/>
        </w:rPr>
        <w:t xml:space="preserve">Revenue Forecast — [Member 3 Name]</w:t>
      </w:r>
    </w:p>
    <w:p>
      <w:pPr>
        <w:spacing w:after="200" w:line="300"/>
      </w:pPr>
      <w:r>
        <w:rPr>
          <w:color w:val="222222"/>
          <w:sz w:val="22"/>
          <w:szCs w:val="22"/>
        </w:rPr>
        <w:t xml:space="preserve">Three assumption sliders (Growth Rate, Deal Close Rate, Seasonality Factor) recalculate the forecast instantly on screen, and a Save Assumptions button writes the chosen values to the database. A “Today” marker on the chart separates confirmed actuals from projected months.</w:t>
      </w:r>
    </w:p>
    <w:p>
      <w:pPr>
        <w:spacing w:after="200" w:line="300"/>
      </w:pPr>
      <w:r>
        <w:rPr>
          <w:b/>
          <w:bCs/>
          <w:color w:val="1F1147"/>
          <w:sz w:val="22"/>
          <w:szCs w:val="22"/>
        </w:rPr>
        <w:t xml:space="preserve">Design idea: </w:t>
      </w:r>
      <w:r>
        <w:rPr>
          <w:i/>
          <w:iCs/>
          <w:color w:val="222222"/>
          <w:sz w:val="22"/>
          <w:szCs w:val="22"/>
        </w:rPr>
        <w:t xml:space="preserve">This is the screen that makes the module's name literal — forecasting, not just reporting. The sliders were designed to feel immediate (client-side recalculation) while still being backed by a real, persistent record once saved.</w:t>
      </w:r>
    </w:p>
    <w:p>
      <w:pPr>
        <w:pStyle w:val="Heading2"/>
        <w:spacing w:after="120" w:before="260"/>
      </w:pPr>
      <w:r>
        <w:rPr>
          <w:b/>
          <w:bCs/>
          <w:color w:val="5B4FD1"/>
          <w:sz w:val="24"/>
          <w:szCs w:val="24"/>
        </w:rPr>
        <w:t xml:space="preserve">Targets — [Member 4 Name]</w:t>
      </w:r>
    </w:p>
    <w:p>
      <w:pPr>
        <w:spacing w:after="200" w:line="300"/>
      </w:pPr>
      <w:r>
        <w:rPr>
          <w:color w:val="222222"/>
          <w:sz w:val="22"/>
          <w:szCs w:val="22"/>
        </w:rPr>
        <w:t xml:space="preserve">Tracks Rep, Region, and Product attainment against quota for the quarter. A single shared status filter (All / On Track / At Risk / Exceeded) filters all three tables at once, and the Product Quota table's Attainment column is sortable.</w:t>
      </w:r>
    </w:p>
    <w:p>
      <w:pPr>
        <w:spacing w:after="200" w:line="300"/>
      </w:pPr>
      <w:r>
        <w:rPr>
          <w:b/>
          <w:bCs/>
          <w:color w:val="1F1147"/>
          <w:sz w:val="22"/>
          <w:szCs w:val="22"/>
        </w:rPr>
        <w:t xml:space="preserve">Design idea: </w:t>
      </w:r>
      <w:r>
        <w:rPr>
          <w:i/>
          <w:iCs/>
          <w:color w:val="222222"/>
          <w:sz w:val="22"/>
          <w:szCs w:val="22"/>
        </w:rPr>
        <w:t xml:space="preserve">The design intentionally reuses one attainment model (actual ÷ target) across all three dimensions instead of three separate scoring rules, so a rep, a region, and a product are always judged the same way.</w:t>
      </w:r>
    </w:p>
    <w:p>
      <w:pPr>
        <w:pStyle w:val="Heading2"/>
        <w:spacing w:after="120" w:before="260"/>
      </w:pPr>
      <w:r>
        <w:rPr>
          <w:b/>
          <w:bCs/>
          <w:color w:val="5B4FD1"/>
          <w:sz w:val="24"/>
          <w:szCs w:val="24"/>
        </w:rPr>
        <w:t xml:space="preserve">Alerts — [Member 5 Name]</w:t>
      </w:r>
    </w:p>
    <w:p>
      <w:pPr>
        <w:spacing w:after="200" w:line="300"/>
      </w:pPr>
      <w:r>
        <w:rPr>
          <w:color w:val="222222"/>
          <w:sz w:val="22"/>
          <w:szCs w:val="22"/>
        </w:rPr>
        <w:t xml:space="preserve">Full CRUD on alerts — Create, Edit, Delete, and Mark as Read — with every action writing to the database. Alerts are category-coded (Critical / Warning / Positive / Info) and filterable, and the sidebar's unread badge recalculates from the database on every page load.</w:t>
      </w:r>
    </w:p>
    <w:p>
      <w:pPr>
        <w:spacing w:after="200" w:line="300"/>
      </w:pPr>
      <w:r>
        <w:rPr>
          <w:b/>
          <w:bCs/>
          <w:color w:val="1F1147"/>
          <w:sz w:val="22"/>
          <w:szCs w:val="22"/>
        </w:rPr>
        <w:t xml:space="preserve">Design idea: </w:t>
      </w:r>
      <w:r>
        <w:rPr>
          <w:i/>
          <w:iCs/>
          <w:color w:val="222222"/>
          <w:sz w:val="22"/>
          <w:szCs w:val="22"/>
        </w:rPr>
        <w:t xml:space="preserve">This screen was designed specifically to prove the database integration end-to-end: it is the one page where every button on screen corresponds to an INSERT, UPDATE, or DELETE statement a grader can verify directly in phpMyAdmin.</w:t>
      </w:r>
    </w:p>
    <w:p>
      <w:pPr>
        <w:pStyle w:val="Heading1"/>
        <w:spacing w:after="160" w:before="360"/>
      </w:pPr>
      <w:r>
        <w:rPr>
          <w:b/>
          <w:bCs/>
          <w:color w:val="1F1147"/>
          <w:sz w:val="30"/>
          <w:szCs w:val="30"/>
        </w:rPr>
        <w:t xml:space="preserve">V. Database Integration</w:t>
      </w:r>
    </w:p>
    <w:p>
      <w:pPr>
        <w:spacing w:after="200" w:line="300"/>
      </w:pPr>
      <w:r>
        <w:rPr>
          <w:color w:val="222222"/>
          <w:sz w:val="22"/>
          <w:szCs w:val="22"/>
        </w:rPr>
        <w:t xml:space="preserve">The front end is connected to a local MariaDB database (schema.sql) with 13 tables, grouped by domain: reference data (regions, products), users and account settings, reps and sales orders, three target tables (rep, region, product), revenue and forecast tables, and alerts. Laravel Eloquent models represent each table, and one controller per screen queries the database and passes real data to each Blade view — no hardcoded arrays remain in any of the five pages.</w:t>
      </w:r>
    </w:p>
    <w:p>
      <w:pPr>
        <w:spacing w:after="200" w:line="300"/>
      </w:pPr>
      <w:r>
        <w:rPr>
          <w:color w:val="222222"/>
          <w:sz w:val="22"/>
          <w:szCs w:val="22"/>
        </w:rPr>
        <w:t xml:space="preserve">Beyond read access, the Alerts page and the Revenue Forecast page both perform real writes: alerts can be created, edited, deleted, and marked as read; forecast assumptions can be saved. Every one of these actions is a genuine INSERT, UPDATE, or DELETE statement against the database, verifiable directly in phpMyAdmin during the live demonstration.</w:t>
      </w:r>
    </w:p>
    <w:p>
      <w:pPr>
        <w:pStyle w:val="Heading1"/>
        <w:spacing w:after="160" w:before="360"/>
      </w:pPr>
      <w:r>
        <w:rPr>
          <w:b/>
          <w:bCs/>
          <w:color w:val="1F1147"/>
          <w:sz w:val="30"/>
          <w:szCs w:val="30"/>
        </w:rPr>
        <w:t xml:space="preserve">VI. Documentation Alignment (Part I)</w:t>
      </w:r>
    </w:p>
    <w:p>
      <w:pPr>
        <w:spacing w:after="200" w:line="300"/>
      </w:pPr>
      <w:r>
        <w:rPr>
          <w:color w:val="222222"/>
          <w:sz w:val="22"/>
          <w:szCs w:val="22"/>
        </w:rPr>
        <w:t xml:space="preserve">The table below aligns the core entities defined in the provided Part I documentation to how each is actually implemented in our design and database schema.</w:t>
      </w:r>
    </w:p>
    <w:tbl>
      <w:tblPr>
        <w:tblW w:type="dxa" w:w="9600"/>
        <w:tblBorders>
          <w:top w:val="single" w:color="D9D5F5" w:sz="4"/>
          <w:left w:val="single" w:color="D9D5F5" w:sz="4"/>
          <w:bottom w:val="single" w:color="D9D5F5" w:sz="4"/>
          <w:right w:val="single" w:color="D9D5F5" w:sz="4"/>
          <w:insideH w:val="single" w:color="D9D5F5" w:sz="4"/>
          <w:insideV w:val="single" w:color="D9D5F5" w:sz="4"/>
        </w:tblBorders>
      </w:tblPr>
      <w:tblGrid>
        <w:gridCol w:w="4300"/>
        <w:gridCol w:w="5300"/>
      </w:tblGrid>
      <w:tr>
        <w:trPr>
          <w:tblHeader/>
        </w:trPr>
        <w:tc>
          <w:tcPr>
            <w:tcW w:type="dxa" w:w="4300"/>
            <w:shd w:fill="5B4FD1" w:val="clear"/>
            <w:tcMar>
              <w:top w:type="dxa" w:w="120"/>
              <w:left w:type="dxa" w:w="150"/>
              <w:bottom w:type="dxa" w:w="120"/>
              <w:right w:type="dxa" w:w="150"/>
            </w:tcMar>
          </w:tcPr>
          <w:p>
            <w:r>
              <w:rPr>
                <w:b/>
                <w:bCs/>
                <w:color w:val="FFFFFF"/>
                <w:sz w:val="20"/>
                <w:szCs w:val="20"/>
              </w:rPr>
              <w:t xml:space="preserve">Documented Requirement</w:t>
            </w:r>
          </w:p>
        </w:tc>
        <w:tc>
          <w:tcPr>
            <w:tcW w:type="dxa" w:w="5300"/>
            <w:shd w:fill="5B4FD1" w:val="clear"/>
            <w:tcMar>
              <w:top w:type="dxa" w:w="120"/>
              <w:left w:type="dxa" w:w="150"/>
              <w:bottom w:type="dxa" w:w="120"/>
              <w:right w:type="dxa" w:w="150"/>
            </w:tcMar>
          </w:tcPr>
          <w:p>
            <w:r>
              <w:rPr>
                <w:b/>
                <w:bCs/>
                <w:color w:val="FFFFFF"/>
                <w:sz w:val="20"/>
                <w:szCs w:val="20"/>
              </w:rPr>
              <w:t xml:space="preserve">Our Implementation</w:t>
            </w:r>
          </w:p>
        </w:tc>
      </w:tr>
      <w:tr>
        <w:tc>
          <w:tcPr>
            <w:tcW w:type="dxa" w:w="4300"/>
            <w:shd w:fill="FFFFFF" w:val="clear"/>
            <w:tcMar>
              <w:top w:type="dxa" w:w="120"/>
              <w:left w:type="dxa" w:w="150"/>
              <w:bottom w:type="dxa" w:w="120"/>
              <w:right w:type="dxa" w:w="150"/>
            </w:tcMar>
          </w:tcPr>
          <w:p>
            <w:r>
              <w:rPr>
                <w:b w:val="false"/>
                <w:bCs w:val="false"/>
                <w:color w:val="222222"/>
                <w:sz w:val="20"/>
                <w:szCs w:val="20"/>
              </w:rPr>
              <w:t xml:space="preserve">Sales Reports
(report_id, report_type, report_period_start/end, generated_at)</w:t>
            </w:r>
          </w:p>
        </w:tc>
        <w:tc>
          <w:tcPr>
            <w:tcW w:type="dxa" w:w="5300"/>
            <w:shd w:fill="FFFFFF" w:val="clear"/>
            <w:tcMar>
              <w:top w:type="dxa" w:w="120"/>
              <w:left w:type="dxa" w:w="150"/>
              <w:bottom w:type="dxa" w:w="120"/>
              <w:right w:type="dxa" w:w="150"/>
            </w:tcMar>
          </w:tcPr>
          <w:p>
            <w:r>
              <w:rPr>
                <w:b w:val="false"/>
                <w:bCs w:val="false"/>
                <w:color w:val="222222"/>
                <w:sz w:val="20"/>
                <w:szCs w:val="20"/>
              </w:rPr>
              <w:t xml:space="preserve">Generate Report page — each click queries sales_orders and the *_targets tables live. report_type maps to our Report Type dropdown (Sales by Rep / Region / Product); the period maps to the Data Range filter.</w:t>
            </w:r>
          </w:p>
        </w:tc>
      </w:tr>
      <w:tr>
        <w:tc>
          <w:tcPr>
            <w:tcW w:type="dxa" w:w="4300"/>
            <w:shd w:fill="FFFFFF" w:val="clear"/>
            <w:tcMar>
              <w:top w:type="dxa" w:w="120"/>
              <w:left w:type="dxa" w:w="150"/>
              <w:bottom w:type="dxa" w:w="120"/>
              <w:right w:type="dxa" w:w="150"/>
            </w:tcMar>
          </w:tcPr>
          <w:p>
            <w:r>
              <w:rPr>
                <w:b w:val="false"/>
                <w:bCs w:val="false"/>
                <w:color w:val="222222"/>
                <w:sz w:val="20"/>
                <w:szCs w:val="20"/>
              </w:rPr>
              <w:t xml:space="preserve">Sales Report Lines
(dimension_type, dimension_value, total_sales, total_quantity, line_order)</w:t>
            </w:r>
          </w:p>
        </w:tc>
        <w:tc>
          <w:tcPr>
            <w:tcW w:type="dxa" w:w="5300"/>
            <w:shd w:fill="FFFFFF" w:val="clear"/>
            <w:tcMar>
              <w:top w:type="dxa" w:w="120"/>
              <w:left w:type="dxa" w:w="150"/>
              <w:bottom w:type="dxa" w:w="120"/>
              <w:right w:type="dxa" w:w="150"/>
            </w:tcMar>
          </w:tcPr>
          <w:p>
            <w:r>
              <w:rPr>
                <w:b w:val="false"/>
                <w:bCs w:val="false"/>
                <w:color w:val="222222"/>
                <w:sz w:val="20"/>
                <w:szCs w:val="20"/>
              </w:rPr>
              <w:t xml:space="preserve">Rendered as the rows of the Generate Report results table. dimension_type corresponds to the Rep / Region / Product toggle; total_sales corresponds to our Actual column.</w:t>
            </w:r>
          </w:p>
        </w:tc>
      </w:tr>
      <w:tr>
        <w:tc>
          <w:tcPr>
            <w:tcW w:type="dxa" w:w="4300"/>
            <w:shd w:fill="FFFFFF" w:val="clear"/>
            <w:tcMar>
              <w:top w:type="dxa" w:w="120"/>
              <w:left w:type="dxa" w:w="150"/>
              <w:bottom w:type="dxa" w:w="120"/>
              <w:right w:type="dxa" w:w="150"/>
            </w:tcMar>
          </w:tcPr>
          <w:p>
            <w:r>
              <w:rPr>
                <w:b w:val="false"/>
                <w:bCs w:val="false"/>
                <w:color w:val="222222"/>
                <w:sz w:val="20"/>
                <w:szCs w:val="20"/>
              </w:rPr>
              <w:t xml:space="preserve">Sales Targets
(sales_rep_id, region, target_period, target_amount, actual_amount, variance_amount, status)</w:t>
            </w:r>
          </w:p>
        </w:tc>
        <w:tc>
          <w:tcPr>
            <w:tcW w:type="dxa" w:w="5300"/>
            <w:shd w:fill="FFFFFF" w:val="clear"/>
            <w:tcMar>
              <w:top w:type="dxa" w:w="120"/>
              <w:left w:type="dxa" w:w="150"/>
              <w:bottom w:type="dxa" w:w="120"/>
              <w:right w:type="dxa" w:w="150"/>
            </w:tcMar>
          </w:tcPr>
          <w:p>
            <w:r>
              <w:rPr>
                <w:b w:val="false"/>
                <w:bCs w:val="false"/>
                <w:color w:val="222222"/>
                <w:sz w:val="20"/>
                <w:szCs w:val="20"/>
              </w:rPr>
              <w:t xml:space="preserve">Implemented as three tables — rep_targets, region_targets, product_targets. status is not pre-stored; it is computed on the fly (On Track / At Risk / Exceeded) through a shared attainment model, so it can never go stale relative to actual_amount.</w:t>
            </w:r>
          </w:p>
        </w:tc>
      </w:tr>
      <w:tr>
        <w:tc>
          <w:tcPr>
            <w:tcW w:type="dxa" w:w="4300"/>
            <w:shd w:fill="FFFFFF" w:val="clear"/>
            <w:tcMar>
              <w:top w:type="dxa" w:w="120"/>
              <w:left w:type="dxa" w:w="150"/>
              <w:bottom w:type="dxa" w:w="120"/>
              <w:right w:type="dxa" w:w="150"/>
            </w:tcMar>
          </w:tcPr>
          <w:p>
            <w:r>
              <w:rPr>
                <w:b w:val="false"/>
                <w:bCs w:val="false"/>
                <w:color w:val="222222"/>
                <w:sz w:val="20"/>
                <w:szCs w:val="20"/>
              </w:rPr>
              <w:t xml:space="preserve">Sales Forecasts
(product_id, region, forecast_period, forecasted_amount, forecast_method, confidence_level, generated_at)</w:t>
            </w:r>
          </w:p>
        </w:tc>
        <w:tc>
          <w:tcPr>
            <w:tcW w:type="dxa" w:w="5300"/>
            <w:shd w:fill="FFFFFF" w:val="clear"/>
            <w:tcMar>
              <w:top w:type="dxa" w:w="120"/>
              <w:left w:type="dxa" w:w="150"/>
              <w:bottom w:type="dxa" w:w="120"/>
              <w:right w:type="dxa" w:w="150"/>
            </w:tcMar>
          </w:tcPr>
          <w:p>
            <w:r>
              <w:rPr>
                <w:b w:val="false"/>
                <w:bCs w:val="false"/>
                <w:color w:val="222222"/>
                <w:sz w:val="20"/>
                <w:szCs w:val="20"/>
              </w:rPr>
              <w:t xml:space="preserve">Implemented as monthly_revenue and forecast_assumptions. forecast_method is represented by three adjustable assumptions (growth rate, deal close rate, seasonality factor) rather than a named statistical model, and the current version forecasts at the company level rather than per-product or per-region.</w:t>
            </w:r>
          </w:p>
        </w:tc>
      </w:tr>
    </w:tbl>
    <w:p>
      <w:pPr>
        <w:spacing w:before="200"/>
      </w:pPr>
    </w:p>
    <w:p>
      <w:pPr>
        <w:spacing w:after="200" w:line="300"/>
      </w:pPr>
      <w:r>
        <w:rPr>
          <w:color w:val="222222"/>
          <w:sz w:val="22"/>
          <w:szCs w:val="22"/>
        </w:rPr>
        <w:t xml:space="preserve">Two notable differences from the documented design, disclosed here for transparency: status/variance is computed dynamically in our implementation rather than stored as separate columns, and forecasting currently runs at the company-wide level rather than per product or per region.</w:t>
      </w:r>
    </w:p>
    <w:p>
      <w:pPr>
        <w:pStyle w:val="Heading1"/>
        <w:spacing w:after="160" w:before="360"/>
      </w:pPr>
      <w:r>
        <w:rPr>
          <w:b/>
          <w:bCs/>
          <w:color w:val="1F1147"/>
          <w:sz w:val="30"/>
          <w:szCs w:val="30"/>
        </w:rPr>
        <w:t xml:space="preserve">VII. Conclusion</w:t>
      </w:r>
    </w:p>
    <w:p>
      <w:pPr>
        <w:spacing w:after="200" w:line="300"/>
      </w:pPr>
      <w:r>
        <w:rPr>
          <w:color w:val="222222"/>
          <w:sz w:val="22"/>
          <w:szCs w:val="22"/>
        </w:rPr>
        <w:t xml:space="preserve">Sales Performance Reporting and Forecast Management is complete as a local-hosted, working Laravel and MariaDB website. All four assigned functions — reporting, target tracking, forecasting, and alerting — are implemented, integrated into one consistent design, and connected to a real database with full read and write capability. The group is prepared to present each function individually and to demonstrate live database changes made through the website during the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2026-07-15T01:37:53.997Z</dcterms:created>
  <dcterms:modified xsi:type="dcterms:W3CDTF">2026-07-15T01:37:53.997Z</dcterms:modified>
</cp:coreProperties>
</file>

<file path=docProps/custom.xml><?xml version="1.0" encoding="utf-8"?>
<Properties xmlns="http://schemas.openxmlformats.org/officeDocument/2006/custom-properties" xmlns:vt="http://schemas.openxmlformats.org/officeDocument/2006/docPropsVTypes"/>
</file>