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58E4" w14:textId="77777777" w:rsidR="00BE0BC1" w:rsidRPr="00964490" w:rsidRDefault="00BE0BC1" w:rsidP="00964490">
      <w:pPr>
        <w:jc w:val="center"/>
        <w:rPr>
          <w:rFonts w:ascii="Times New Roman" w:hAnsi="Times New Roman" w:cs="Times New Roman"/>
          <w:b/>
          <w:bCs/>
          <w:sz w:val="32"/>
          <w:szCs w:val="32"/>
        </w:rPr>
      </w:pPr>
      <w:r w:rsidRPr="00964490">
        <w:rPr>
          <w:rFonts w:ascii="Times New Roman" w:hAnsi="Times New Roman" w:cs="Times New Roman"/>
          <w:b/>
          <w:bCs/>
          <w:sz w:val="32"/>
          <w:szCs w:val="32"/>
        </w:rPr>
        <w:t>UNICEF SDG Education &amp; Digital Readiness Dashboard</w:t>
      </w:r>
    </w:p>
    <w:p w14:paraId="32021BEA" w14:textId="77777777" w:rsidR="00BE0BC1" w:rsidRPr="00ED4D4E" w:rsidRDefault="00BE0BC1" w:rsidP="00BE0BC1">
      <w:pPr>
        <w:rPr>
          <w:rFonts w:ascii="Times New Roman" w:hAnsi="Times New Roman" w:cs="Times New Roman"/>
          <w:b/>
          <w:bCs/>
        </w:rPr>
      </w:pPr>
      <w:r w:rsidRPr="00ED4D4E">
        <w:rPr>
          <w:rFonts w:ascii="Times New Roman" w:hAnsi="Times New Roman" w:cs="Times New Roman"/>
          <w:b/>
          <w:bCs/>
        </w:rPr>
        <w:t>Ethiopia: Infrastructure Readiness, Risk Analysis and Priority Intervention Assessment</w:t>
      </w:r>
    </w:p>
    <w:p w14:paraId="5BDC428C" w14:textId="77777777" w:rsidR="00ED4D4E" w:rsidRDefault="00ED4D4E" w:rsidP="00BE0BC1">
      <w:pPr>
        <w:rPr>
          <w:rFonts w:ascii="Times New Roman" w:hAnsi="Times New Roman" w:cs="Times New Roman"/>
          <w:b/>
          <w:bCs/>
        </w:rPr>
      </w:pPr>
    </w:p>
    <w:p w14:paraId="7ECEF371" w14:textId="389C364F"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Executive Analytical Brief</w:t>
      </w:r>
    </w:p>
    <w:p w14:paraId="645E22D8"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Project Objective</w:t>
      </w:r>
    </w:p>
    <w:p w14:paraId="0A6BAEC9" w14:textId="77777777" w:rsidR="00BE0BC1" w:rsidRPr="00964490" w:rsidRDefault="00BE0BC1" w:rsidP="00964490">
      <w:pPr>
        <w:jc w:val="both"/>
        <w:rPr>
          <w:rFonts w:ascii="Times New Roman" w:hAnsi="Times New Roman" w:cs="Times New Roman"/>
        </w:rPr>
      </w:pPr>
      <w:r w:rsidRPr="00964490">
        <w:rPr>
          <w:rFonts w:ascii="Times New Roman" w:hAnsi="Times New Roman" w:cs="Times New Roman"/>
        </w:rPr>
        <w:t>This analytical dashboard project was developed to assess digital education readiness across selected Ethiopian regions through an SDG-aligned monitoring and prioritization framework. The analysis focuses on identifying infrastructure disparities, institutional readiness gaps, and intervention priority areas relevant to digital learning implementation and resilience-oriented education planning.</w:t>
      </w:r>
    </w:p>
    <w:p w14:paraId="601D013A" w14:textId="77777777" w:rsidR="00BE0BC1" w:rsidRPr="00964490" w:rsidRDefault="00BE0BC1" w:rsidP="00964490">
      <w:pPr>
        <w:jc w:val="both"/>
        <w:rPr>
          <w:rFonts w:ascii="Times New Roman" w:hAnsi="Times New Roman" w:cs="Times New Roman"/>
        </w:rPr>
      </w:pPr>
      <w:r w:rsidRPr="00964490">
        <w:rPr>
          <w:rFonts w:ascii="Times New Roman" w:hAnsi="Times New Roman" w:cs="Times New Roman"/>
        </w:rPr>
        <w:t>The dashboard was designed to simulate a UNICEF and development-partner style decision-support system supporting evidence-based prioritization for digital education investments.</w:t>
      </w:r>
    </w:p>
    <w:p w14:paraId="2A9B14CD" w14:textId="77777777" w:rsidR="00ED4D4E" w:rsidRDefault="00ED4D4E" w:rsidP="00BE0BC1">
      <w:pPr>
        <w:rPr>
          <w:rFonts w:ascii="Times New Roman" w:hAnsi="Times New Roman" w:cs="Times New Roman"/>
          <w:b/>
          <w:bCs/>
        </w:rPr>
      </w:pPr>
    </w:p>
    <w:p w14:paraId="44F8DC32" w14:textId="4E6C44E0"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Analytical Scope</w:t>
      </w:r>
    </w:p>
    <w:p w14:paraId="1A243A6A" w14:textId="77777777" w:rsidR="00BE0BC1" w:rsidRPr="00964490" w:rsidRDefault="00BE0BC1" w:rsidP="00964490">
      <w:pPr>
        <w:jc w:val="both"/>
        <w:rPr>
          <w:rFonts w:ascii="Times New Roman" w:hAnsi="Times New Roman" w:cs="Times New Roman"/>
        </w:rPr>
      </w:pPr>
      <w:r w:rsidRPr="00964490">
        <w:rPr>
          <w:rFonts w:ascii="Times New Roman" w:hAnsi="Times New Roman" w:cs="Times New Roman"/>
        </w:rPr>
        <w:t>The analysis evaluates regional digital education readiness across multiple institutional and infrastructure dimensions, including:</w:t>
      </w:r>
    </w:p>
    <w:p w14:paraId="7AE1BC96" w14:textId="77777777" w:rsidR="00BE0BC1" w:rsidRPr="00964490" w:rsidRDefault="00BE0BC1" w:rsidP="00BE0BC1">
      <w:pPr>
        <w:numPr>
          <w:ilvl w:val="0"/>
          <w:numId w:val="1"/>
        </w:numPr>
        <w:rPr>
          <w:rFonts w:ascii="Times New Roman" w:hAnsi="Times New Roman" w:cs="Times New Roman"/>
        </w:rPr>
      </w:pPr>
      <w:r w:rsidRPr="00964490">
        <w:rPr>
          <w:rFonts w:ascii="Times New Roman" w:hAnsi="Times New Roman" w:cs="Times New Roman"/>
        </w:rPr>
        <w:t xml:space="preserve">Internet connectivity access </w:t>
      </w:r>
    </w:p>
    <w:p w14:paraId="410CBCA8" w14:textId="77777777" w:rsidR="00BE0BC1" w:rsidRPr="00964490" w:rsidRDefault="00BE0BC1" w:rsidP="00BE0BC1">
      <w:pPr>
        <w:numPr>
          <w:ilvl w:val="0"/>
          <w:numId w:val="1"/>
        </w:numPr>
        <w:rPr>
          <w:rFonts w:ascii="Times New Roman" w:hAnsi="Times New Roman" w:cs="Times New Roman"/>
        </w:rPr>
      </w:pPr>
      <w:r w:rsidRPr="00964490">
        <w:rPr>
          <w:rFonts w:ascii="Times New Roman" w:hAnsi="Times New Roman" w:cs="Times New Roman"/>
        </w:rPr>
        <w:t xml:space="preserve">Electricity reliability </w:t>
      </w:r>
    </w:p>
    <w:p w14:paraId="20AE3DBE" w14:textId="77777777" w:rsidR="00BE0BC1" w:rsidRPr="00964490" w:rsidRDefault="00BE0BC1" w:rsidP="00BE0BC1">
      <w:pPr>
        <w:numPr>
          <w:ilvl w:val="0"/>
          <w:numId w:val="1"/>
        </w:numPr>
        <w:rPr>
          <w:rFonts w:ascii="Times New Roman" w:hAnsi="Times New Roman" w:cs="Times New Roman"/>
        </w:rPr>
      </w:pPr>
      <w:r w:rsidRPr="00964490">
        <w:rPr>
          <w:rFonts w:ascii="Times New Roman" w:hAnsi="Times New Roman" w:cs="Times New Roman"/>
        </w:rPr>
        <w:t xml:space="preserve">ICT laboratory coverage </w:t>
      </w:r>
    </w:p>
    <w:p w14:paraId="57836B27" w14:textId="77777777" w:rsidR="00BE0BC1" w:rsidRPr="00964490" w:rsidRDefault="00BE0BC1" w:rsidP="00BE0BC1">
      <w:pPr>
        <w:numPr>
          <w:ilvl w:val="0"/>
          <w:numId w:val="1"/>
        </w:numPr>
        <w:rPr>
          <w:rFonts w:ascii="Times New Roman" w:hAnsi="Times New Roman" w:cs="Times New Roman"/>
        </w:rPr>
      </w:pPr>
      <w:r w:rsidRPr="00964490">
        <w:rPr>
          <w:rFonts w:ascii="Times New Roman" w:hAnsi="Times New Roman" w:cs="Times New Roman"/>
        </w:rPr>
        <w:t xml:space="preserve">Teacher digital readiness </w:t>
      </w:r>
    </w:p>
    <w:p w14:paraId="67B29BCB" w14:textId="77777777" w:rsidR="00BE0BC1" w:rsidRPr="00964490" w:rsidRDefault="00BE0BC1" w:rsidP="00BE0BC1">
      <w:pPr>
        <w:numPr>
          <w:ilvl w:val="0"/>
          <w:numId w:val="1"/>
        </w:numPr>
        <w:rPr>
          <w:rFonts w:ascii="Times New Roman" w:hAnsi="Times New Roman" w:cs="Times New Roman"/>
        </w:rPr>
      </w:pPr>
      <w:r w:rsidRPr="00964490">
        <w:rPr>
          <w:rFonts w:ascii="Times New Roman" w:hAnsi="Times New Roman" w:cs="Times New Roman"/>
        </w:rPr>
        <w:t xml:space="preserve">Student-device accessibility </w:t>
      </w:r>
    </w:p>
    <w:p w14:paraId="4A0FB8C6" w14:textId="77777777" w:rsidR="00BE0BC1" w:rsidRPr="00964490" w:rsidRDefault="00BE0BC1" w:rsidP="00BE0BC1">
      <w:pPr>
        <w:numPr>
          <w:ilvl w:val="0"/>
          <w:numId w:val="1"/>
        </w:numPr>
        <w:rPr>
          <w:rFonts w:ascii="Times New Roman" w:hAnsi="Times New Roman" w:cs="Times New Roman"/>
        </w:rPr>
      </w:pPr>
      <w:r w:rsidRPr="00964490">
        <w:rPr>
          <w:rFonts w:ascii="Times New Roman" w:hAnsi="Times New Roman" w:cs="Times New Roman"/>
        </w:rPr>
        <w:t xml:space="preserve">Conflict-related operational risk </w:t>
      </w:r>
    </w:p>
    <w:p w14:paraId="583071B3" w14:textId="77777777" w:rsidR="00BE0BC1" w:rsidRPr="00964490" w:rsidRDefault="00BE0BC1" w:rsidP="00BE0BC1">
      <w:pPr>
        <w:numPr>
          <w:ilvl w:val="0"/>
          <w:numId w:val="1"/>
        </w:numPr>
        <w:rPr>
          <w:rFonts w:ascii="Times New Roman" w:hAnsi="Times New Roman" w:cs="Times New Roman"/>
        </w:rPr>
      </w:pPr>
      <w:r w:rsidRPr="00964490">
        <w:rPr>
          <w:rFonts w:ascii="Times New Roman" w:hAnsi="Times New Roman" w:cs="Times New Roman"/>
        </w:rPr>
        <w:t xml:space="preserve">Urban-rural infrastructure disparities </w:t>
      </w:r>
    </w:p>
    <w:p w14:paraId="5586BDD6" w14:textId="5C734E06" w:rsidR="00BE0BC1" w:rsidRPr="00964490" w:rsidRDefault="00BE0BC1" w:rsidP="00964490">
      <w:pPr>
        <w:jc w:val="both"/>
        <w:rPr>
          <w:rFonts w:ascii="Times New Roman" w:hAnsi="Times New Roman" w:cs="Times New Roman"/>
        </w:rPr>
      </w:pPr>
      <w:r w:rsidRPr="00964490">
        <w:rPr>
          <w:rFonts w:ascii="Times New Roman" w:hAnsi="Times New Roman" w:cs="Times New Roman"/>
        </w:rPr>
        <w:t xml:space="preserve">The analytical framework integrates monitoring, benchmarking, and intervention prioritization methodologies commonly used in development-sector </w:t>
      </w:r>
      <w:r w:rsidR="00964490" w:rsidRPr="00964490">
        <w:rPr>
          <w:rFonts w:ascii="Times New Roman" w:hAnsi="Times New Roman" w:cs="Times New Roman"/>
        </w:rPr>
        <w:t>program</w:t>
      </w:r>
      <w:r w:rsidRPr="00964490">
        <w:rPr>
          <w:rFonts w:ascii="Times New Roman" w:hAnsi="Times New Roman" w:cs="Times New Roman"/>
        </w:rPr>
        <w:t xml:space="preserve"> analysis and results-based management (RBM) environments.</w:t>
      </w:r>
    </w:p>
    <w:p w14:paraId="4C792B41" w14:textId="77777777" w:rsidR="00ED4D4E" w:rsidRDefault="00ED4D4E" w:rsidP="00BE0BC1">
      <w:pPr>
        <w:rPr>
          <w:rFonts w:ascii="Times New Roman" w:hAnsi="Times New Roman" w:cs="Times New Roman"/>
          <w:b/>
          <w:bCs/>
        </w:rPr>
      </w:pPr>
    </w:p>
    <w:p w14:paraId="4B0B4E62" w14:textId="1A79C4A2" w:rsidR="00BE0BC1" w:rsidRPr="00964490" w:rsidRDefault="00964490" w:rsidP="00BE0BC1">
      <w:pPr>
        <w:rPr>
          <w:rFonts w:ascii="Times New Roman" w:hAnsi="Times New Roman" w:cs="Times New Roman"/>
          <w:b/>
          <w:bCs/>
        </w:rPr>
      </w:pPr>
      <w:r>
        <w:rPr>
          <w:rFonts w:ascii="Times New Roman" w:hAnsi="Times New Roman" w:cs="Times New Roman"/>
          <w:b/>
          <w:bCs/>
        </w:rPr>
        <w:t>M</w:t>
      </w:r>
      <w:r w:rsidR="00BE0BC1" w:rsidRPr="00964490">
        <w:rPr>
          <w:rFonts w:ascii="Times New Roman" w:hAnsi="Times New Roman" w:cs="Times New Roman"/>
          <w:b/>
          <w:bCs/>
        </w:rPr>
        <w:t>ethodology</w:t>
      </w:r>
    </w:p>
    <w:p w14:paraId="0BCAE7B0" w14:textId="77777777" w:rsidR="00BE0BC1" w:rsidRPr="00964490" w:rsidRDefault="00BE0BC1" w:rsidP="00964490">
      <w:pPr>
        <w:jc w:val="both"/>
        <w:rPr>
          <w:rFonts w:ascii="Times New Roman" w:hAnsi="Times New Roman" w:cs="Times New Roman"/>
        </w:rPr>
      </w:pPr>
      <w:r w:rsidRPr="00964490">
        <w:rPr>
          <w:rFonts w:ascii="Times New Roman" w:hAnsi="Times New Roman" w:cs="Times New Roman"/>
        </w:rPr>
        <w:t>A composite Digital Readiness Score was developed to assess institutional preparedness for digital education implementation.</w:t>
      </w:r>
    </w:p>
    <w:p w14:paraId="6392FB4F" w14:textId="77777777" w:rsidR="00ED4D4E" w:rsidRDefault="00ED4D4E" w:rsidP="00BE0BC1">
      <w:pPr>
        <w:rPr>
          <w:rFonts w:ascii="Times New Roman" w:hAnsi="Times New Roman" w:cs="Times New Roman"/>
          <w:b/>
          <w:bCs/>
        </w:rPr>
      </w:pPr>
    </w:p>
    <w:p w14:paraId="15A46F26" w14:textId="77777777" w:rsidR="00ED4D4E" w:rsidRDefault="00ED4D4E" w:rsidP="00BE0BC1">
      <w:pPr>
        <w:rPr>
          <w:rFonts w:ascii="Times New Roman" w:hAnsi="Times New Roman" w:cs="Times New Roman"/>
          <w:b/>
          <w:bCs/>
        </w:rPr>
      </w:pPr>
    </w:p>
    <w:p w14:paraId="649E081D" w14:textId="77777777" w:rsidR="00ED4D4E" w:rsidRDefault="00ED4D4E" w:rsidP="00BE0BC1">
      <w:pPr>
        <w:rPr>
          <w:rFonts w:ascii="Times New Roman" w:hAnsi="Times New Roman" w:cs="Times New Roman"/>
          <w:b/>
          <w:bCs/>
        </w:rPr>
      </w:pPr>
    </w:p>
    <w:p w14:paraId="0226F580" w14:textId="6048D19B" w:rsidR="00BE0BC1" w:rsidRPr="00964490" w:rsidRDefault="00BE0BC1" w:rsidP="00BE0BC1">
      <w:pPr>
        <w:rPr>
          <w:rFonts w:ascii="Times New Roman" w:hAnsi="Times New Roman" w:cs="Times New Roman"/>
          <w:b/>
          <w:bCs/>
        </w:rPr>
      </w:pPr>
      <w:r w:rsidRPr="00964490">
        <w:rPr>
          <w:rFonts w:ascii="Times New Roman" w:hAnsi="Times New Roman" w:cs="Times New Roman"/>
          <w:b/>
          <w:bCs/>
        </w:rPr>
        <w:lastRenderedPageBreak/>
        <w:t>Readiness Scoring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809"/>
      </w:tblGrid>
      <w:tr w:rsidR="00BE0BC1" w:rsidRPr="00964490" w14:paraId="7897D28B" w14:textId="77777777">
        <w:trPr>
          <w:tblHeader/>
          <w:tblCellSpacing w:w="15" w:type="dxa"/>
        </w:trPr>
        <w:tc>
          <w:tcPr>
            <w:tcW w:w="0" w:type="auto"/>
            <w:vAlign w:val="center"/>
            <w:hideMark/>
          </w:tcPr>
          <w:p w14:paraId="2BA4E992"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Indicator</w:t>
            </w:r>
          </w:p>
        </w:tc>
        <w:tc>
          <w:tcPr>
            <w:tcW w:w="0" w:type="auto"/>
            <w:vAlign w:val="center"/>
            <w:hideMark/>
          </w:tcPr>
          <w:p w14:paraId="70A1571C"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Weight</w:t>
            </w:r>
          </w:p>
        </w:tc>
      </w:tr>
      <w:tr w:rsidR="00BE0BC1" w:rsidRPr="00964490" w14:paraId="734BBC69" w14:textId="77777777">
        <w:trPr>
          <w:tblCellSpacing w:w="15" w:type="dxa"/>
        </w:trPr>
        <w:tc>
          <w:tcPr>
            <w:tcW w:w="0" w:type="auto"/>
            <w:vAlign w:val="center"/>
            <w:hideMark/>
          </w:tcPr>
          <w:p w14:paraId="7375049F"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Reliable Electricity</w:t>
            </w:r>
          </w:p>
        </w:tc>
        <w:tc>
          <w:tcPr>
            <w:tcW w:w="0" w:type="auto"/>
            <w:vAlign w:val="center"/>
            <w:hideMark/>
          </w:tcPr>
          <w:p w14:paraId="6B3F37C7"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25%</w:t>
            </w:r>
          </w:p>
        </w:tc>
      </w:tr>
      <w:tr w:rsidR="00BE0BC1" w:rsidRPr="00964490" w14:paraId="2132529D" w14:textId="77777777">
        <w:trPr>
          <w:tblCellSpacing w:w="15" w:type="dxa"/>
        </w:trPr>
        <w:tc>
          <w:tcPr>
            <w:tcW w:w="0" w:type="auto"/>
            <w:vAlign w:val="center"/>
            <w:hideMark/>
          </w:tcPr>
          <w:p w14:paraId="3B87F05F"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Internet Access</w:t>
            </w:r>
          </w:p>
        </w:tc>
        <w:tc>
          <w:tcPr>
            <w:tcW w:w="0" w:type="auto"/>
            <w:vAlign w:val="center"/>
            <w:hideMark/>
          </w:tcPr>
          <w:p w14:paraId="691D3976"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25%</w:t>
            </w:r>
          </w:p>
        </w:tc>
      </w:tr>
      <w:tr w:rsidR="00BE0BC1" w:rsidRPr="00964490" w14:paraId="2CB840B5" w14:textId="77777777">
        <w:trPr>
          <w:tblCellSpacing w:w="15" w:type="dxa"/>
        </w:trPr>
        <w:tc>
          <w:tcPr>
            <w:tcW w:w="0" w:type="auto"/>
            <w:vAlign w:val="center"/>
            <w:hideMark/>
          </w:tcPr>
          <w:p w14:paraId="22981659"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ICT Lab Availability</w:t>
            </w:r>
          </w:p>
        </w:tc>
        <w:tc>
          <w:tcPr>
            <w:tcW w:w="0" w:type="auto"/>
            <w:vAlign w:val="center"/>
            <w:hideMark/>
          </w:tcPr>
          <w:p w14:paraId="3F9E087C"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20%</w:t>
            </w:r>
          </w:p>
        </w:tc>
      </w:tr>
      <w:tr w:rsidR="00BE0BC1" w:rsidRPr="00964490" w14:paraId="2A848A04" w14:textId="77777777">
        <w:trPr>
          <w:tblCellSpacing w:w="15" w:type="dxa"/>
        </w:trPr>
        <w:tc>
          <w:tcPr>
            <w:tcW w:w="0" w:type="auto"/>
            <w:vAlign w:val="center"/>
            <w:hideMark/>
          </w:tcPr>
          <w:p w14:paraId="33973A6B"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Teacher Digital Readiness</w:t>
            </w:r>
          </w:p>
        </w:tc>
        <w:tc>
          <w:tcPr>
            <w:tcW w:w="0" w:type="auto"/>
            <w:vAlign w:val="center"/>
            <w:hideMark/>
          </w:tcPr>
          <w:p w14:paraId="4BA8EC78"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15%</w:t>
            </w:r>
          </w:p>
        </w:tc>
      </w:tr>
      <w:tr w:rsidR="00BE0BC1" w:rsidRPr="00964490" w14:paraId="085CC6B3" w14:textId="77777777">
        <w:trPr>
          <w:tblCellSpacing w:w="15" w:type="dxa"/>
        </w:trPr>
        <w:tc>
          <w:tcPr>
            <w:tcW w:w="0" w:type="auto"/>
            <w:vAlign w:val="center"/>
            <w:hideMark/>
          </w:tcPr>
          <w:p w14:paraId="39AF8DCD"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Device Availability</w:t>
            </w:r>
          </w:p>
        </w:tc>
        <w:tc>
          <w:tcPr>
            <w:tcW w:w="0" w:type="auto"/>
            <w:vAlign w:val="center"/>
            <w:hideMark/>
          </w:tcPr>
          <w:p w14:paraId="1EDFBCDA"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15%</w:t>
            </w:r>
          </w:p>
        </w:tc>
      </w:tr>
    </w:tbl>
    <w:p w14:paraId="6A3F69C9"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Institutions and regions were subsequently categorized into:</w:t>
      </w:r>
    </w:p>
    <w:p w14:paraId="1DCA3D08" w14:textId="77777777" w:rsidR="00BE0BC1" w:rsidRPr="00964490" w:rsidRDefault="00BE0BC1" w:rsidP="00BE0BC1">
      <w:pPr>
        <w:numPr>
          <w:ilvl w:val="0"/>
          <w:numId w:val="2"/>
        </w:numPr>
        <w:rPr>
          <w:rFonts w:ascii="Times New Roman" w:hAnsi="Times New Roman" w:cs="Times New Roman"/>
        </w:rPr>
      </w:pPr>
      <w:r w:rsidRPr="00964490">
        <w:rPr>
          <w:rFonts w:ascii="Times New Roman" w:hAnsi="Times New Roman" w:cs="Times New Roman"/>
        </w:rPr>
        <w:t xml:space="preserve">High Readiness </w:t>
      </w:r>
    </w:p>
    <w:p w14:paraId="72941CCB" w14:textId="77777777" w:rsidR="00BE0BC1" w:rsidRPr="00964490" w:rsidRDefault="00BE0BC1" w:rsidP="00BE0BC1">
      <w:pPr>
        <w:numPr>
          <w:ilvl w:val="0"/>
          <w:numId w:val="2"/>
        </w:numPr>
        <w:rPr>
          <w:rFonts w:ascii="Times New Roman" w:hAnsi="Times New Roman" w:cs="Times New Roman"/>
        </w:rPr>
      </w:pPr>
      <w:r w:rsidRPr="00964490">
        <w:rPr>
          <w:rFonts w:ascii="Times New Roman" w:hAnsi="Times New Roman" w:cs="Times New Roman"/>
        </w:rPr>
        <w:t xml:space="preserve">Medium Readiness </w:t>
      </w:r>
    </w:p>
    <w:p w14:paraId="37217D20" w14:textId="77777777" w:rsidR="00BE0BC1" w:rsidRPr="00964490" w:rsidRDefault="00BE0BC1" w:rsidP="00BE0BC1">
      <w:pPr>
        <w:numPr>
          <w:ilvl w:val="0"/>
          <w:numId w:val="2"/>
        </w:numPr>
        <w:rPr>
          <w:rFonts w:ascii="Times New Roman" w:hAnsi="Times New Roman" w:cs="Times New Roman"/>
        </w:rPr>
      </w:pPr>
      <w:r w:rsidRPr="00964490">
        <w:rPr>
          <w:rFonts w:ascii="Times New Roman" w:hAnsi="Times New Roman" w:cs="Times New Roman"/>
        </w:rPr>
        <w:t xml:space="preserve">Low Readiness </w:t>
      </w:r>
    </w:p>
    <w:p w14:paraId="1ACA0553" w14:textId="77777777" w:rsidR="00BE0BC1" w:rsidRPr="00964490" w:rsidRDefault="00BE0BC1" w:rsidP="00964490">
      <w:pPr>
        <w:jc w:val="both"/>
        <w:rPr>
          <w:rFonts w:ascii="Times New Roman" w:hAnsi="Times New Roman" w:cs="Times New Roman"/>
        </w:rPr>
      </w:pPr>
      <w:r w:rsidRPr="00964490">
        <w:rPr>
          <w:rFonts w:ascii="Times New Roman" w:hAnsi="Times New Roman" w:cs="Times New Roman"/>
        </w:rPr>
        <w:t>The assessment further incorporated conflict-risk exposure and institutional burden analysis to support intervention prioritization.</w:t>
      </w:r>
    </w:p>
    <w:p w14:paraId="533B0CAE" w14:textId="4E852D9F" w:rsidR="00BE0BC1" w:rsidRPr="00964490" w:rsidRDefault="00BE0BC1" w:rsidP="00BE0BC1">
      <w:pPr>
        <w:rPr>
          <w:rFonts w:ascii="Times New Roman" w:hAnsi="Times New Roman" w:cs="Times New Roman"/>
        </w:rPr>
      </w:pPr>
    </w:p>
    <w:p w14:paraId="1B624CA6"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Dashboard Structure</w:t>
      </w:r>
    </w:p>
    <w:p w14:paraId="25234330"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Page 1: Executive Overview</w:t>
      </w:r>
    </w:p>
    <w:p w14:paraId="54D55BD5"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Provides a high-level overview of:</w:t>
      </w:r>
    </w:p>
    <w:p w14:paraId="1830DA97" w14:textId="77777777" w:rsidR="00BE0BC1" w:rsidRPr="00964490" w:rsidRDefault="00BE0BC1" w:rsidP="00BE0BC1">
      <w:pPr>
        <w:numPr>
          <w:ilvl w:val="0"/>
          <w:numId w:val="3"/>
        </w:numPr>
        <w:rPr>
          <w:rFonts w:ascii="Times New Roman" w:hAnsi="Times New Roman" w:cs="Times New Roman"/>
        </w:rPr>
      </w:pPr>
      <w:r w:rsidRPr="00964490">
        <w:rPr>
          <w:rFonts w:ascii="Times New Roman" w:hAnsi="Times New Roman" w:cs="Times New Roman"/>
        </w:rPr>
        <w:t xml:space="preserve">infrastructure readiness indicators </w:t>
      </w:r>
    </w:p>
    <w:p w14:paraId="253E8F06" w14:textId="77777777" w:rsidR="00BE0BC1" w:rsidRPr="00964490" w:rsidRDefault="00BE0BC1" w:rsidP="00BE0BC1">
      <w:pPr>
        <w:numPr>
          <w:ilvl w:val="0"/>
          <w:numId w:val="3"/>
        </w:numPr>
        <w:rPr>
          <w:rFonts w:ascii="Times New Roman" w:hAnsi="Times New Roman" w:cs="Times New Roman"/>
        </w:rPr>
      </w:pPr>
      <w:r w:rsidRPr="00964490">
        <w:rPr>
          <w:rFonts w:ascii="Times New Roman" w:hAnsi="Times New Roman" w:cs="Times New Roman"/>
        </w:rPr>
        <w:t xml:space="preserve">regional disparities </w:t>
      </w:r>
    </w:p>
    <w:p w14:paraId="6C01AD8C" w14:textId="77777777" w:rsidR="00BE0BC1" w:rsidRPr="00964490" w:rsidRDefault="00BE0BC1" w:rsidP="00BE0BC1">
      <w:pPr>
        <w:numPr>
          <w:ilvl w:val="0"/>
          <w:numId w:val="3"/>
        </w:numPr>
        <w:rPr>
          <w:rFonts w:ascii="Times New Roman" w:hAnsi="Times New Roman" w:cs="Times New Roman"/>
        </w:rPr>
      </w:pPr>
      <w:r w:rsidRPr="00964490">
        <w:rPr>
          <w:rFonts w:ascii="Times New Roman" w:hAnsi="Times New Roman" w:cs="Times New Roman"/>
        </w:rPr>
        <w:t xml:space="preserve">institutional coverage </w:t>
      </w:r>
    </w:p>
    <w:p w14:paraId="176BC1EF" w14:textId="77777777" w:rsidR="00BE0BC1" w:rsidRPr="00964490" w:rsidRDefault="00BE0BC1" w:rsidP="00BE0BC1">
      <w:pPr>
        <w:numPr>
          <w:ilvl w:val="0"/>
          <w:numId w:val="3"/>
        </w:numPr>
        <w:rPr>
          <w:rFonts w:ascii="Times New Roman" w:hAnsi="Times New Roman" w:cs="Times New Roman"/>
        </w:rPr>
      </w:pPr>
      <w:r w:rsidRPr="00964490">
        <w:rPr>
          <w:rFonts w:ascii="Times New Roman" w:hAnsi="Times New Roman" w:cs="Times New Roman"/>
        </w:rPr>
        <w:t xml:space="preserve">readiness distribution </w:t>
      </w:r>
    </w:p>
    <w:p w14:paraId="1BFB9ADC" w14:textId="77777777" w:rsidR="00BE0BC1" w:rsidRDefault="00BE0BC1" w:rsidP="00BE0BC1">
      <w:pPr>
        <w:numPr>
          <w:ilvl w:val="0"/>
          <w:numId w:val="3"/>
        </w:numPr>
        <w:rPr>
          <w:rFonts w:ascii="Times New Roman" w:hAnsi="Times New Roman" w:cs="Times New Roman"/>
        </w:rPr>
      </w:pPr>
      <w:r w:rsidRPr="00964490">
        <w:rPr>
          <w:rFonts w:ascii="Times New Roman" w:hAnsi="Times New Roman" w:cs="Times New Roman"/>
        </w:rPr>
        <w:t xml:space="preserve">SDG alignment </w:t>
      </w:r>
    </w:p>
    <w:p w14:paraId="1E70A3C5"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Page 2: Infrastructure Readiness Analysis</w:t>
      </w:r>
    </w:p>
    <w:p w14:paraId="624778BB"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Examines:</w:t>
      </w:r>
    </w:p>
    <w:p w14:paraId="6AEF98AA" w14:textId="77777777" w:rsidR="00BE0BC1" w:rsidRPr="00964490" w:rsidRDefault="00BE0BC1" w:rsidP="00BE0BC1">
      <w:pPr>
        <w:numPr>
          <w:ilvl w:val="0"/>
          <w:numId w:val="4"/>
        </w:numPr>
        <w:rPr>
          <w:rFonts w:ascii="Times New Roman" w:hAnsi="Times New Roman" w:cs="Times New Roman"/>
        </w:rPr>
      </w:pPr>
      <w:r w:rsidRPr="00964490">
        <w:rPr>
          <w:rFonts w:ascii="Times New Roman" w:hAnsi="Times New Roman" w:cs="Times New Roman"/>
        </w:rPr>
        <w:t xml:space="preserve">regional infrastructure gaps </w:t>
      </w:r>
    </w:p>
    <w:p w14:paraId="04C09FD5" w14:textId="77777777" w:rsidR="00BE0BC1" w:rsidRPr="00964490" w:rsidRDefault="00BE0BC1" w:rsidP="00BE0BC1">
      <w:pPr>
        <w:numPr>
          <w:ilvl w:val="0"/>
          <w:numId w:val="4"/>
        </w:numPr>
        <w:rPr>
          <w:rFonts w:ascii="Times New Roman" w:hAnsi="Times New Roman" w:cs="Times New Roman"/>
        </w:rPr>
      </w:pPr>
      <w:r w:rsidRPr="00964490">
        <w:rPr>
          <w:rFonts w:ascii="Times New Roman" w:hAnsi="Times New Roman" w:cs="Times New Roman"/>
        </w:rPr>
        <w:t xml:space="preserve">readiness score comparisons </w:t>
      </w:r>
    </w:p>
    <w:p w14:paraId="6CC05B69" w14:textId="77777777" w:rsidR="00BE0BC1" w:rsidRPr="00964490" w:rsidRDefault="00BE0BC1" w:rsidP="00BE0BC1">
      <w:pPr>
        <w:numPr>
          <w:ilvl w:val="0"/>
          <w:numId w:val="4"/>
        </w:numPr>
        <w:rPr>
          <w:rFonts w:ascii="Times New Roman" w:hAnsi="Times New Roman" w:cs="Times New Roman"/>
        </w:rPr>
      </w:pPr>
      <w:r w:rsidRPr="00964490">
        <w:rPr>
          <w:rFonts w:ascii="Times New Roman" w:hAnsi="Times New Roman" w:cs="Times New Roman"/>
        </w:rPr>
        <w:t xml:space="preserve">urban-rural disparities </w:t>
      </w:r>
    </w:p>
    <w:p w14:paraId="2A7FAB5B" w14:textId="77777777" w:rsidR="00BE0BC1" w:rsidRPr="00964490" w:rsidRDefault="00BE0BC1" w:rsidP="00BE0BC1">
      <w:pPr>
        <w:numPr>
          <w:ilvl w:val="0"/>
          <w:numId w:val="4"/>
        </w:numPr>
        <w:rPr>
          <w:rFonts w:ascii="Times New Roman" w:hAnsi="Times New Roman" w:cs="Times New Roman"/>
        </w:rPr>
      </w:pPr>
      <w:r w:rsidRPr="00964490">
        <w:rPr>
          <w:rFonts w:ascii="Times New Roman" w:hAnsi="Times New Roman" w:cs="Times New Roman"/>
        </w:rPr>
        <w:t xml:space="preserve">infrastructure readiness diagnostics </w:t>
      </w:r>
    </w:p>
    <w:p w14:paraId="7EDD7E39" w14:textId="600A172B"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Page 3: Risk &amp; Priority Intervention Analysis</w:t>
      </w:r>
    </w:p>
    <w:p w14:paraId="12404B71" w14:textId="461E1947" w:rsidR="00BE0BC1" w:rsidRPr="00964490" w:rsidRDefault="00964490" w:rsidP="00BE0BC1">
      <w:pPr>
        <w:rPr>
          <w:rFonts w:ascii="Times New Roman" w:hAnsi="Times New Roman" w:cs="Times New Roman"/>
        </w:rPr>
      </w:pPr>
      <w:r w:rsidRPr="00964490">
        <w:rPr>
          <w:rFonts w:ascii="Times New Roman" w:hAnsi="Times New Roman" w:cs="Times New Roman"/>
        </w:rPr>
        <w:t>Focus</w:t>
      </w:r>
      <w:r w:rsidR="00BE0BC1" w:rsidRPr="00964490">
        <w:rPr>
          <w:rFonts w:ascii="Times New Roman" w:hAnsi="Times New Roman" w:cs="Times New Roman"/>
        </w:rPr>
        <w:t xml:space="preserve"> on:</w:t>
      </w:r>
    </w:p>
    <w:p w14:paraId="479AF5E8" w14:textId="77777777" w:rsidR="00BE0BC1" w:rsidRPr="00964490" w:rsidRDefault="00BE0BC1" w:rsidP="00BE0BC1">
      <w:pPr>
        <w:numPr>
          <w:ilvl w:val="0"/>
          <w:numId w:val="5"/>
        </w:numPr>
        <w:rPr>
          <w:rFonts w:ascii="Times New Roman" w:hAnsi="Times New Roman" w:cs="Times New Roman"/>
        </w:rPr>
      </w:pPr>
      <w:r w:rsidRPr="00964490">
        <w:rPr>
          <w:rFonts w:ascii="Times New Roman" w:hAnsi="Times New Roman" w:cs="Times New Roman"/>
        </w:rPr>
        <w:lastRenderedPageBreak/>
        <w:t xml:space="preserve">intervention prioritization </w:t>
      </w:r>
    </w:p>
    <w:p w14:paraId="1ED8A68A" w14:textId="77777777" w:rsidR="00BE0BC1" w:rsidRPr="00964490" w:rsidRDefault="00BE0BC1" w:rsidP="00BE0BC1">
      <w:pPr>
        <w:numPr>
          <w:ilvl w:val="0"/>
          <w:numId w:val="5"/>
        </w:numPr>
        <w:rPr>
          <w:rFonts w:ascii="Times New Roman" w:hAnsi="Times New Roman" w:cs="Times New Roman"/>
        </w:rPr>
      </w:pPr>
      <w:r w:rsidRPr="00964490">
        <w:rPr>
          <w:rFonts w:ascii="Times New Roman" w:hAnsi="Times New Roman" w:cs="Times New Roman"/>
        </w:rPr>
        <w:t xml:space="preserve">risk-adjusted readiness analysis </w:t>
      </w:r>
    </w:p>
    <w:p w14:paraId="7879CD21" w14:textId="77777777" w:rsidR="00BE0BC1" w:rsidRPr="00964490" w:rsidRDefault="00BE0BC1" w:rsidP="00BE0BC1">
      <w:pPr>
        <w:numPr>
          <w:ilvl w:val="0"/>
          <w:numId w:val="5"/>
        </w:numPr>
        <w:rPr>
          <w:rFonts w:ascii="Times New Roman" w:hAnsi="Times New Roman" w:cs="Times New Roman"/>
        </w:rPr>
      </w:pPr>
      <w:r w:rsidRPr="00964490">
        <w:rPr>
          <w:rFonts w:ascii="Times New Roman" w:hAnsi="Times New Roman" w:cs="Times New Roman"/>
        </w:rPr>
        <w:t xml:space="preserve">institutional burden assessment </w:t>
      </w:r>
    </w:p>
    <w:p w14:paraId="73BF5263" w14:textId="77777777" w:rsidR="00BE0BC1" w:rsidRPr="00964490" w:rsidRDefault="00BE0BC1" w:rsidP="00BE0BC1">
      <w:pPr>
        <w:numPr>
          <w:ilvl w:val="0"/>
          <w:numId w:val="5"/>
        </w:numPr>
        <w:rPr>
          <w:rFonts w:ascii="Times New Roman" w:hAnsi="Times New Roman" w:cs="Times New Roman"/>
        </w:rPr>
      </w:pPr>
      <w:r w:rsidRPr="00964490">
        <w:rPr>
          <w:rFonts w:ascii="Times New Roman" w:hAnsi="Times New Roman" w:cs="Times New Roman"/>
        </w:rPr>
        <w:t xml:space="preserve">strategic targeting recommendations </w:t>
      </w:r>
    </w:p>
    <w:p w14:paraId="62C6F99C" w14:textId="719ED114" w:rsidR="00BE0BC1" w:rsidRPr="00964490" w:rsidRDefault="00BE0BC1" w:rsidP="00BE0BC1">
      <w:pPr>
        <w:rPr>
          <w:rFonts w:ascii="Times New Roman" w:hAnsi="Times New Roman" w:cs="Times New Roman"/>
          <w:b/>
          <w:bCs/>
        </w:rPr>
      </w:pPr>
    </w:p>
    <w:p w14:paraId="16AB7B75" w14:textId="0C4852DD"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Key Findings and Strategic Recommendations</w:t>
      </w:r>
    </w:p>
    <w:p w14:paraId="4BABFB8A"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1. Significant Regional Readiness Disparities Exist</w:t>
      </w:r>
    </w:p>
    <w:p w14:paraId="1FDDB447"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The analysis identified major variations in digital education readiness across Ethiopian regions. Addis Ababa and selected comparatively stronger regions demonstrated higher readiness scores driven by stronger infrastructure availability and institutional preparedness.</w:t>
      </w:r>
    </w:p>
    <w:p w14:paraId="1759C4CA" w14:textId="6052C083" w:rsidR="00BE0BC1" w:rsidRPr="00964490" w:rsidRDefault="00BE0BC1" w:rsidP="00ED4D4E">
      <w:pPr>
        <w:jc w:val="both"/>
        <w:rPr>
          <w:rFonts w:ascii="Times New Roman" w:hAnsi="Times New Roman" w:cs="Times New Roman"/>
        </w:rPr>
      </w:pPr>
      <w:r w:rsidRPr="00964490">
        <w:rPr>
          <w:rFonts w:ascii="Times New Roman" w:hAnsi="Times New Roman" w:cs="Times New Roman"/>
        </w:rPr>
        <w:t xml:space="preserve">Lower-performing regions showed overlapping infrastructure constraints that may reduce implementation readiness for digital education </w:t>
      </w:r>
      <w:r w:rsidR="00964490" w:rsidRPr="00964490">
        <w:rPr>
          <w:rFonts w:ascii="Times New Roman" w:hAnsi="Times New Roman" w:cs="Times New Roman"/>
        </w:rPr>
        <w:t>programs</w:t>
      </w:r>
      <w:r w:rsidRPr="00964490">
        <w:rPr>
          <w:rFonts w:ascii="Times New Roman" w:hAnsi="Times New Roman" w:cs="Times New Roman"/>
        </w:rPr>
        <w:t>.</w:t>
      </w:r>
    </w:p>
    <w:p w14:paraId="30F40F2A"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2. Infrastructure Constraints Remain the Primary Readiness Barrier</w:t>
      </w:r>
    </w:p>
    <w:p w14:paraId="1DF695B4"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Electricity reliability, internet connectivity, and ICT laboratory coverage emerged as the most significant drivers of readiness variation.</w:t>
      </w:r>
    </w:p>
    <w:p w14:paraId="17D9CCE5"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Regions with weaker infrastructure consistently demonstrated lower overall readiness scores and elevated implementation vulnerability.</w:t>
      </w:r>
    </w:p>
    <w:p w14:paraId="31E2B59A"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3. Urban-Rural Readiness Gaps Remain Evident</w:t>
      </w:r>
    </w:p>
    <w:p w14:paraId="615D9E4C"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The analysis identified persistent disparities between urban and rural institutions across:</w:t>
      </w:r>
    </w:p>
    <w:p w14:paraId="5F8EC324" w14:textId="77777777" w:rsidR="00BE0BC1" w:rsidRPr="00964490" w:rsidRDefault="00BE0BC1" w:rsidP="00BE0BC1">
      <w:pPr>
        <w:numPr>
          <w:ilvl w:val="0"/>
          <w:numId w:val="6"/>
        </w:numPr>
        <w:rPr>
          <w:rFonts w:ascii="Times New Roman" w:hAnsi="Times New Roman" w:cs="Times New Roman"/>
        </w:rPr>
      </w:pPr>
      <w:r w:rsidRPr="00964490">
        <w:rPr>
          <w:rFonts w:ascii="Times New Roman" w:hAnsi="Times New Roman" w:cs="Times New Roman"/>
        </w:rPr>
        <w:t xml:space="preserve">connectivity access </w:t>
      </w:r>
    </w:p>
    <w:p w14:paraId="02E12DC0" w14:textId="77777777" w:rsidR="00BE0BC1" w:rsidRPr="00964490" w:rsidRDefault="00BE0BC1" w:rsidP="00BE0BC1">
      <w:pPr>
        <w:numPr>
          <w:ilvl w:val="0"/>
          <w:numId w:val="6"/>
        </w:numPr>
        <w:rPr>
          <w:rFonts w:ascii="Times New Roman" w:hAnsi="Times New Roman" w:cs="Times New Roman"/>
        </w:rPr>
      </w:pPr>
      <w:r w:rsidRPr="00964490">
        <w:rPr>
          <w:rFonts w:ascii="Times New Roman" w:hAnsi="Times New Roman" w:cs="Times New Roman"/>
        </w:rPr>
        <w:t xml:space="preserve">ICT infrastructure </w:t>
      </w:r>
    </w:p>
    <w:p w14:paraId="13A4C0EC" w14:textId="77777777" w:rsidR="00BE0BC1" w:rsidRPr="00964490" w:rsidRDefault="00BE0BC1" w:rsidP="00BE0BC1">
      <w:pPr>
        <w:numPr>
          <w:ilvl w:val="0"/>
          <w:numId w:val="6"/>
        </w:numPr>
        <w:rPr>
          <w:rFonts w:ascii="Times New Roman" w:hAnsi="Times New Roman" w:cs="Times New Roman"/>
        </w:rPr>
      </w:pPr>
      <w:r w:rsidRPr="00964490">
        <w:rPr>
          <w:rFonts w:ascii="Times New Roman" w:hAnsi="Times New Roman" w:cs="Times New Roman"/>
        </w:rPr>
        <w:t xml:space="preserve">digital teaching readiness </w:t>
      </w:r>
    </w:p>
    <w:p w14:paraId="3289CA9F" w14:textId="77777777" w:rsidR="00BE0BC1" w:rsidRPr="00964490" w:rsidRDefault="00BE0BC1" w:rsidP="00BE0BC1">
      <w:pPr>
        <w:numPr>
          <w:ilvl w:val="0"/>
          <w:numId w:val="6"/>
        </w:numPr>
        <w:rPr>
          <w:rFonts w:ascii="Times New Roman" w:hAnsi="Times New Roman" w:cs="Times New Roman"/>
        </w:rPr>
      </w:pPr>
      <w:r w:rsidRPr="00964490">
        <w:rPr>
          <w:rFonts w:ascii="Times New Roman" w:hAnsi="Times New Roman" w:cs="Times New Roman"/>
        </w:rPr>
        <w:t xml:space="preserve">device accessibility </w:t>
      </w:r>
    </w:p>
    <w:p w14:paraId="6B2EF8AC"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These findings reinforce the importance of equity-oriented digital education investments.</w:t>
      </w:r>
    </w:p>
    <w:p w14:paraId="1207EC40"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4. High-Priority Intervention Regions Were Identified</w:t>
      </w:r>
    </w:p>
    <w:p w14:paraId="54FEFB8F"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The intervention matrix identified regions combining:</w:t>
      </w:r>
    </w:p>
    <w:p w14:paraId="55059283" w14:textId="77777777" w:rsidR="00BE0BC1" w:rsidRPr="00964490" w:rsidRDefault="00BE0BC1" w:rsidP="00BE0BC1">
      <w:pPr>
        <w:numPr>
          <w:ilvl w:val="0"/>
          <w:numId w:val="7"/>
        </w:numPr>
        <w:rPr>
          <w:rFonts w:ascii="Times New Roman" w:hAnsi="Times New Roman" w:cs="Times New Roman"/>
        </w:rPr>
      </w:pPr>
      <w:r w:rsidRPr="00964490">
        <w:rPr>
          <w:rFonts w:ascii="Times New Roman" w:hAnsi="Times New Roman" w:cs="Times New Roman"/>
        </w:rPr>
        <w:t xml:space="preserve">lower digital readiness </w:t>
      </w:r>
    </w:p>
    <w:p w14:paraId="51D28534" w14:textId="77777777" w:rsidR="00BE0BC1" w:rsidRPr="00964490" w:rsidRDefault="00BE0BC1" w:rsidP="00BE0BC1">
      <w:pPr>
        <w:numPr>
          <w:ilvl w:val="0"/>
          <w:numId w:val="7"/>
        </w:numPr>
        <w:rPr>
          <w:rFonts w:ascii="Times New Roman" w:hAnsi="Times New Roman" w:cs="Times New Roman"/>
        </w:rPr>
      </w:pPr>
      <w:r w:rsidRPr="00964490">
        <w:rPr>
          <w:rFonts w:ascii="Times New Roman" w:hAnsi="Times New Roman" w:cs="Times New Roman"/>
        </w:rPr>
        <w:t xml:space="preserve">higher institutional burden </w:t>
      </w:r>
    </w:p>
    <w:p w14:paraId="144CFF06" w14:textId="77777777" w:rsidR="00BE0BC1" w:rsidRPr="00964490" w:rsidRDefault="00BE0BC1" w:rsidP="00BE0BC1">
      <w:pPr>
        <w:numPr>
          <w:ilvl w:val="0"/>
          <w:numId w:val="7"/>
        </w:numPr>
        <w:rPr>
          <w:rFonts w:ascii="Times New Roman" w:hAnsi="Times New Roman" w:cs="Times New Roman"/>
        </w:rPr>
      </w:pPr>
      <w:r w:rsidRPr="00964490">
        <w:rPr>
          <w:rFonts w:ascii="Times New Roman" w:hAnsi="Times New Roman" w:cs="Times New Roman"/>
        </w:rPr>
        <w:t xml:space="preserve">elevated conflict exposure </w:t>
      </w:r>
    </w:p>
    <w:p w14:paraId="68E04891"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These regions represent priority candidates for targeted resilience-oriented digital education interventions.</w:t>
      </w:r>
    </w:p>
    <w:p w14:paraId="25AAF98B" w14:textId="77777777" w:rsidR="00ED4D4E" w:rsidRDefault="00ED4D4E" w:rsidP="00BE0BC1">
      <w:pPr>
        <w:rPr>
          <w:rFonts w:ascii="Times New Roman" w:hAnsi="Times New Roman" w:cs="Times New Roman"/>
          <w:b/>
          <w:bCs/>
        </w:rPr>
      </w:pPr>
    </w:p>
    <w:p w14:paraId="41BFF965" w14:textId="1DAA3474" w:rsidR="00BE0BC1" w:rsidRPr="00964490" w:rsidRDefault="00BE0BC1" w:rsidP="00BE0BC1">
      <w:pPr>
        <w:rPr>
          <w:rFonts w:ascii="Times New Roman" w:hAnsi="Times New Roman" w:cs="Times New Roman"/>
          <w:b/>
          <w:bCs/>
        </w:rPr>
      </w:pPr>
      <w:r w:rsidRPr="00964490">
        <w:rPr>
          <w:rFonts w:ascii="Times New Roman" w:hAnsi="Times New Roman" w:cs="Times New Roman"/>
          <w:b/>
          <w:bCs/>
        </w:rPr>
        <w:lastRenderedPageBreak/>
        <w:t>Strategic Recommendations</w:t>
      </w:r>
    </w:p>
    <w:p w14:paraId="7CCF7B1E"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1. Prioritize Low-Readiness Regions</w:t>
      </w:r>
    </w:p>
    <w:p w14:paraId="3EB32F86" w14:textId="1A97A0BB" w:rsidR="00BE0BC1" w:rsidRPr="00964490" w:rsidRDefault="00ED4D4E" w:rsidP="00ED4D4E">
      <w:pPr>
        <w:jc w:val="both"/>
        <w:rPr>
          <w:rFonts w:ascii="Times New Roman" w:hAnsi="Times New Roman" w:cs="Times New Roman"/>
        </w:rPr>
      </w:pPr>
      <w:r w:rsidRPr="00964490">
        <w:rPr>
          <w:rFonts w:ascii="Times New Roman" w:hAnsi="Times New Roman" w:cs="Times New Roman"/>
        </w:rPr>
        <w:t>Program</w:t>
      </w:r>
      <w:r w:rsidR="00BE0BC1" w:rsidRPr="00964490">
        <w:rPr>
          <w:rFonts w:ascii="Times New Roman" w:hAnsi="Times New Roman" w:cs="Times New Roman"/>
        </w:rPr>
        <w:t xml:space="preserve"> investments should prioritize lower-readiness regions with </w:t>
      </w:r>
      <w:proofErr w:type="gramStart"/>
      <w:r w:rsidR="00BE0BC1" w:rsidRPr="00964490">
        <w:rPr>
          <w:rFonts w:ascii="Times New Roman" w:hAnsi="Times New Roman" w:cs="Times New Roman"/>
        </w:rPr>
        <w:t>comparatively larger</w:t>
      </w:r>
      <w:proofErr w:type="gramEnd"/>
      <w:r w:rsidR="00BE0BC1" w:rsidRPr="00964490">
        <w:rPr>
          <w:rFonts w:ascii="Times New Roman" w:hAnsi="Times New Roman" w:cs="Times New Roman"/>
        </w:rPr>
        <w:t xml:space="preserve"> institutional burdens and weaker infrastructure capacity.</w:t>
      </w:r>
    </w:p>
    <w:p w14:paraId="70328CF3"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2. Expand Integrated Infrastructure Support</w:t>
      </w:r>
    </w:p>
    <w:p w14:paraId="5E5639E4" w14:textId="77777777" w:rsidR="00BE0BC1" w:rsidRPr="00964490" w:rsidRDefault="00BE0BC1" w:rsidP="00BE0BC1">
      <w:pPr>
        <w:rPr>
          <w:rFonts w:ascii="Times New Roman" w:hAnsi="Times New Roman" w:cs="Times New Roman"/>
        </w:rPr>
      </w:pPr>
      <w:r w:rsidRPr="00964490">
        <w:rPr>
          <w:rFonts w:ascii="Times New Roman" w:hAnsi="Times New Roman" w:cs="Times New Roman"/>
        </w:rPr>
        <w:t>Digital education investments should combine:</w:t>
      </w:r>
    </w:p>
    <w:p w14:paraId="2CF7C429" w14:textId="77777777" w:rsidR="00BE0BC1" w:rsidRPr="00964490" w:rsidRDefault="00BE0BC1" w:rsidP="00BE0BC1">
      <w:pPr>
        <w:numPr>
          <w:ilvl w:val="0"/>
          <w:numId w:val="8"/>
        </w:numPr>
        <w:rPr>
          <w:rFonts w:ascii="Times New Roman" w:hAnsi="Times New Roman" w:cs="Times New Roman"/>
        </w:rPr>
      </w:pPr>
      <w:r w:rsidRPr="00964490">
        <w:rPr>
          <w:rFonts w:ascii="Times New Roman" w:hAnsi="Times New Roman" w:cs="Times New Roman"/>
        </w:rPr>
        <w:t xml:space="preserve">electricity stabilization </w:t>
      </w:r>
    </w:p>
    <w:p w14:paraId="382D14B0" w14:textId="77777777" w:rsidR="00BE0BC1" w:rsidRPr="00964490" w:rsidRDefault="00BE0BC1" w:rsidP="00BE0BC1">
      <w:pPr>
        <w:numPr>
          <w:ilvl w:val="0"/>
          <w:numId w:val="8"/>
        </w:numPr>
        <w:rPr>
          <w:rFonts w:ascii="Times New Roman" w:hAnsi="Times New Roman" w:cs="Times New Roman"/>
        </w:rPr>
      </w:pPr>
      <w:r w:rsidRPr="00964490">
        <w:rPr>
          <w:rFonts w:ascii="Times New Roman" w:hAnsi="Times New Roman" w:cs="Times New Roman"/>
        </w:rPr>
        <w:t xml:space="preserve">internet connectivity expansion </w:t>
      </w:r>
    </w:p>
    <w:p w14:paraId="347F7BD4" w14:textId="77777777" w:rsidR="00BE0BC1" w:rsidRPr="00964490" w:rsidRDefault="00BE0BC1" w:rsidP="00BE0BC1">
      <w:pPr>
        <w:numPr>
          <w:ilvl w:val="0"/>
          <w:numId w:val="8"/>
        </w:numPr>
        <w:rPr>
          <w:rFonts w:ascii="Times New Roman" w:hAnsi="Times New Roman" w:cs="Times New Roman"/>
        </w:rPr>
      </w:pPr>
      <w:r w:rsidRPr="00964490">
        <w:rPr>
          <w:rFonts w:ascii="Times New Roman" w:hAnsi="Times New Roman" w:cs="Times New Roman"/>
        </w:rPr>
        <w:t xml:space="preserve">ICT laboratory strengthening </w:t>
      </w:r>
    </w:p>
    <w:p w14:paraId="19BE5054" w14:textId="77777777" w:rsidR="00BE0BC1" w:rsidRPr="00964490" w:rsidRDefault="00BE0BC1" w:rsidP="00BE0BC1">
      <w:pPr>
        <w:numPr>
          <w:ilvl w:val="0"/>
          <w:numId w:val="8"/>
        </w:numPr>
        <w:rPr>
          <w:rFonts w:ascii="Times New Roman" w:hAnsi="Times New Roman" w:cs="Times New Roman"/>
        </w:rPr>
      </w:pPr>
      <w:r w:rsidRPr="00964490">
        <w:rPr>
          <w:rFonts w:ascii="Times New Roman" w:hAnsi="Times New Roman" w:cs="Times New Roman"/>
        </w:rPr>
        <w:t xml:space="preserve">institutional digital infrastructure development </w:t>
      </w:r>
    </w:p>
    <w:p w14:paraId="351C77F7"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Integrated interventions are likely to generate greater readiness improvements than isolated infrastructure initiatives.</w:t>
      </w:r>
    </w:p>
    <w:p w14:paraId="600F2F91"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3. Strengthen Teacher Digital Capacity</w:t>
      </w:r>
    </w:p>
    <w:p w14:paraId="41A0BEAB"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Teacher readiness remains a critical implementation factor. Scaled teacher digital training initiatives should accompany infrastructure investments to improve institutional adoption and digital learning sustainability.</w:t>
      </w:r>
    </w:p>
    <w:p w14:paraId="231E57BB"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4. Promote Equity-Oriented Education Investments</w:t>
      </w:r>
    </w:p>
    <w:p w14:paraId="5E186FD5" w14:textId="77777777" w:rsidR="00BE0BC1" w:rsidRPr="00964490" w:rsidRDefault="00BE0BC1" w:rsidP="00ED4D4E">
      <w:pPr>
        <w:jc w:val="both"/>
        <w:rPr>
          <w:rFonts w:ascii="Times New Roman" w:hAnsi="Times New Roman" w:cs="Times New Roman"/>
        </w:rPr>
      </w:pPr>
      <w:r w:rsidRPr="00964490">
        <w:rPr>
          <w:rFonts w:ascii="Times New Roman" w:hAnsi="Times New Roman" w:cs="Times New Roman"/>
        </w:rPr>
        <w:t>Urban-rural readiness disparities highlight the need for targeted inclusion strategies aimed at improving equitable access to digital learning opportunities in underserved regions.</w:t>
      </w:r>
    </w:p>
    <w:p w14:paraId="5D42BC4C" w14:textId="1F9DD93F"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 xml:space="preserve">5. Support Risk-Informed </w:t>
      </w:r>
      <w:r w:rsidR="00ED4D4E" w:rsidRPr="00964490">
        <w:rPr>
          <w:rFonts w:ascii="Times New Roman" w:hAnsi="Times New Roman" w:cs="Times New Roman"/>
          <w:b/>
          <w:bCs/>
        </w:rPr>
        <w:t>Program</w:t>
      </w:r>
      <w:r w:rsidRPr="00964490">
        <w:rPr>
          <w:rFonts w:ascii="Times New Roman" w:hAnsi="Times New Roman" w:cs="Times New Roman"/>
          <w:b/>
          <w:bCs/>
        </w:rPr>
        <w:t xml:space="preserve"> Planning</w:t>
      </w:r>
    </w:p>
    <w:p w14:paraId="643E93DD" w14:textId="009EFF92" w:rsidR="00BE0BC1" w:rsidRPr="00964490" w:rsidRDefault="00BE0BC1" w:rsidP="00ED4D4E">
      <w:pPr>
        <w:jc w:val="both"/>
        <w:rPr>
          <w:rFonts w:ascii="Times New Roman" w:hAnsi="Times New Roman" w:cs="Times New Roman"/>
        </w:rPr>
      </w:pPr>
      <w:r w:rsidRPr="00964490">
        <w:rPr>
          <w:rFonts w:ascii="Times New Roman" w:hAnsi="Times New Roman" w:cs="Times New Roman"/>
        </w:rPr>
        <w:t xml:space="preserve">Conflict exposure and operational vulnerability should be integrated into </w:t>
      </w:r>
      <w:r w:rsidR="00ED4D4E" w:rsidRPr="00964490">
        <w:rPr>
          <w:rFonts w:ascii="Times New Roman" w:hAnsi="Times New Roman" w:cs="Times New Roman"/>
        </w:rPr>
        <w:t>program</w:t>
      </w:r>
      <w:r w:rsidRPr="00964490">
        <w:rPr>
          <w:rFonts w:ascii="Times New Roman" w:hAnsi="Times New Roman" w:cs="Times New Roman"/>
        </w:rPr>
        <w:t xml:space="preserve"> prioritization frameworks to strengthen resilience-oriented education planning and implementation readiness.</w:t>
      </w:r>
    </w:p>
    <w:p w14:paraId="4FBB6079" w14:textId="6EBF368A" w:rsidR="00BE0BC1" w:rsidRPr="00964490" w:rsidRDefault="00BE0BC1" w:rsidP="00BE0BC1">
      <w:pPr>
        <w:rPr>
          <w:rFonts w:ascii="Times New Roman" w:hAnsi="Times New Roman" w:cs="Times New Roman"/>
        </w:rPr>
      </w:pPr>
    </w:p>
    <w:p w14:paraId="6270DDF8" w14:textId="77777777" w:rsidR="00BE0BC1" w:rsidRPr="00964490" w:rsidRDefault="00BE0BC1" w:rsidP="00BE0BC1">
      <w:pPr>
        <w:rPr>
          <w:rFonts w:ascii="Times New Roman" w:hAnsi="Times New Roman" w:cs="Times New Roman"/>
          <w:b/>
          <w:bCs/>
        </w:rPr>
      </w:pPr>
      <w:r w:rsidRPr="00964490">
        <w:rPr>
          <w:rFonts w:ascii="Times New Roman" w:hAnsi="Times New Roman" w:cs="Times New Roman"/>
          <w:b/>
          <w:bCs/>
        </w:rPr>
        <w:t>Conclusion</w:t>
      </w:r>
    </w:p>
    <w:p w14:paraId="1F004F08" w14:textId="68B6F89B" w:rsidR="00BE0BC1" w:rsidRPr="00964490" w:rsidRDefault="00BE0BC1" w:rsidP="00ED4D4E">
      <w:pPr>
        <w:jc w:val="both"/>
        <w:rPr>
          <w:rFonts w:ascii="Times New Roman" w:hAnsi="Times New Roman" w:cs="Times New Roman"/>
        </w:rPr>
      </w:pPr>
      <w:r w:rsidRPr="00964490">
        <w:rPr>
          <w:rFonts w:ascii="Times New Roman" w:hAnsi="Times New Roman" w:cs="Times New Roman"/>
        </w:rPr>
        <w:t xml:space="preserve">The analysis demonstrates that digital education readiness in Ethiopia is shaped by interconnected infrastructure, institutional, and regional risk factors. The dashboard provides a practical SDG-aligned decision-support framework for identifying priority intervention areas and supporting evidence-based </w:t>
      </w:r>
      <w:r w:rsidR="00ED4D4E" w:rsidRPr="00964490">
        <w:rPr>
          <w:rFonts w:ascii="Times New Roman" w:hAnsi="Times New Roman" w:cs="Times New Roman"/>
        </w:rPr>
        <w:t>program</w:t>
      </w:r>
      <w:r w:rsidRPr="00964490">
        <w:rPr>
          <w:rFonts w:ascii="Times New Roman" w:hAnsi="Times New Roman" w:cs="Times New Roman"/>
        </w:rPr>
        <w:t xml:space="preserve"> planning for digital education initiatives.</w:t>
      </w:r>
    </w:p>
    <w:p w14:paraId="22BAAA47" w14:textId="77777777" w:rsidR="00BE0BC1" w:rsidRPr="00964490" w:rsidRDefault="00BE0BC1">
      <w:pPr>
        <w:rPr>
          <w:rFonts w:ascii="Times New Roman" w:hAnsi="Times New Roman" w:cs="Times New Roman"/>
        </w:rPr>
      </w:pPr>
    </w:p>
    <w:sectPr w:rsidR="00BE0BC1" w:rsidRPr="00964490" w:rsidSect="00964490">
      <w:pgSz w:w="12240" w:h="15840"/>
      <w:pgMar w:top="63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B6F"/>
    <w:multiLevelType w:val="multilevel"/>
    <w:tmpl w:val="4E5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813A7"/>
    <w:multiLevelType w:val="multilevel"/>
    <w:tmpl w:val="1ED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C72CE"/>
    <w:multiLevelType w:val="multilevel"/>
    <w:tmpl w:val="26F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A7AEA"/>
    <w:multiLevelType w:val="multilevel"/>
    <w:tmpl w:val="696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E2544"/>
    <w:multiLevelType w:val="multilevel"/>
    <w:tmpl w:val="B4B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E3A2E"/>
    <w:multiLevelType w:val="multilevel"/>
    <w:tmpl w:val="6ED8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C619A"/>
    <w:multiLevelType w:val="multilevel"/>
    <w:tmpl w:val="15C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45D09"/>
    <w:multiLevelType w:val="multilevel"/>
    <w:tmpl w:val="D18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089970">
    <w:abstractNumId w:val="3"/>
  </w:num>
  <w:num w:numId="2" w16cid:durableId="1568177951">
    <w:abstractNumId w:val="4"/>
  </w:num>
  <w:num w:numId="3" w16cid:durableId="2124768281">
    <w:abstractNumId w:val="2"/>
  </w:num>
  <w:num w:numId="4" w16cid:durableId="1741175664">
    <w:abstractNumId w:val="6"/>
  </w:num>
  <w:num w:numId="5" w16cid:durableId="1361276957">
    <w:abstractNumId w:val="0"/>
  </w:num>
  <w:num w:numId="6" w16cid:durableId="638412903">
    <w:abstractNumId w:val="7"/>
  </w:num>
  <w:num w:numId="7" w16cid:durableId="785852756">
    <w:abstractNumId w:val="1"/>
  </w:num>
  <w:num w:numId="8" w16cid:durableId="2116367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74"/>
    <w:rsid w:val="000A16EE"/>
    <w:rsid w:val="00544074"/>
    <w:rsid w:val="00964490"/>
    <w:rsid w:val="00BE0BC1"/>
    <w:rsid w:val="00C62469"/>
    <w:rsid w:val="00C97502"/>
    <w:rsid w:val="00E77FBA"/>
    <w:rsid w:val="00ED4D4E"/>
    <w:rsid w:val="00FB7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BBED"/>
  <w15:chartTrackingRefBased/>
  <w15:docId w15:val="{F69B9724-D993-4D02-BF58-DADACAC75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74"/>
    <w:rPr>
      <w:rFonts w:eastAsiaTheme="majorEastAsia" w:cstheme="majorBidi"/>
      <w:color w:val="272727" w:themeColor="text1" w:themeTint="D8"/>
    </w:rPr>
  </w:style>
  <w:style w:type="paragraph" w:styleId="Title">
    <w:name w:val="Title"/>
    <w:basedOn w:val="Normal"/>
    <w:next w:val="Normal"/>
    <w:link w:val="TitleChar"/>
    <w:uiPriority w:val="10"/>
    <w:qFormat/>
    <w:rsid w:val="0054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74"/>
    <w:pPr>
      <w:spacing w:before="160"/>
      <w:jc w:val="center"/>
    </w:pPr>
    <w:rPr>
      <w:i/>
      <w:iCs/>
      <w:color w:val="404040" w:themeColor="text1" w:themeTint="BF"/>
    </w:rPr>
  </w:style>
  <w:style w:type="character" w:customStyle="1" w:styleId="QuoteChar">
    <w:name w:val="Quote Char"/>
    <w:basedOn w:val="DefaultParagraphFont"/>
    <w:link w:val="Quote"/>
    <w:uiPriority w:val="29"/>
    <w:rsid w:val="00544074"/>
    <w:rPr>
      <w:i/>
      <w:iCs/>
      <w:color w:val="404040" w:themeColor="text1" w:themeTint="BF"/>
    </w:rPr>
  </w:style>
  <w:style w:type="paragraph" w:styleId="ListParagraph">
    <w:name w:val="List Paragraph"/>
    <w:basedOn w:val="Normal"/>
    <w:uiPriority w:val="34"/>
    <w:qFormat/>
    <w:rsid w:val="00544074"/>
    <w:pPr>
      <w:ind w:left="720"/>
      <w:contextualSpacing/>
    </w:pPr>
  </w:style>
  <w:style w:type="character" w:styleId="IntenseEmphasis">
    <w:name w:val="Intense Emphasis"/>
    <w:basedOn w:val="DefaultParagraphFont"/>
    <w:uiPriority w:val="21"/>
    <w:qFormat/>
    <w:rsid w:val="00544074"/>
    <w:rPr>
      <w:i/>
      <w:iCs/>
      <w:color w:val="0F4761" w:themeColor="accent1" w:themeShade="BF"/>
    </w:rPr>
  </w:style>
  <w:style w:type="paragraph" w:styleId="IntenseQuote">
    <w:name w:val="Intense Quote"/>
    <w:basedOn w:val="Normal"/>
    <w:next w:val="Normal"/>
    <w:link w:val="IntenseQuoteChar"/>
    <w:uiPriority w:val="30"/>
    <w:qFormat/>
    <w:rsid w:val="0054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74"/>
    <w:rPr>
      <w:i/>
      <w:iCs/>
      <w:color w:val="0F4761" w:themeColor="accent1" w:themeShade="BF"/>
    </w:rPr>
  </w:style>
  <w:style w:type="character" w:styleId="IntenseReference">
    <w:name w:val="Intense Reference"/>
    <w:basedOn w:val="DefaultParagraphFont"/>
    <w:uiPriority w:val="32"/>
    <w:qFormat/>
    <w:rsid w:val="005440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14B71-BF14-484B-B1A8-805DD50E5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Maleeka Atif</dc:creator>
  <cp:keywords/>
  <dc:description/>
  <cp:lastModifiedBy>Maleeka Atif</cp:lastModifiedBy>
  <cp:revision>2</cp:revision>
  <dcterms:created xsi:type="dcterms:W3CDTF">2026-05-17T13:11:00Z</dcterms:created>
  <dcterms:modified xsi:type="dcterms:W3CDTF">2026-05-17T13:11:00Z</dcterms:modified>
</cp:coreProperties>
</file>