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C9B" w:rsidRDefault="006A7C9B">
      <w:r>
        <w:rPr>
          <w:noProof/>
        </w:rPr>
        <w:drawing>
          <wp:inline distT="0" distB="0" distL="0" distR="0" wp14:anchorId="3B0D37E0" wp14:editId="16083395">
            <wp:extent cx="5760720" cy="32016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713CC" wp14:editId="4BE3A0E9">
            <wp:extent cx="5760720" cy="363410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A7C9B" w:rsidTr="006A7C9B"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% IDENTITE DU GENE P53 DE L’INDIVIDU III4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1 cellule normale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2 cellule normale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Allèle 1 cellule cancéreuse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Allèle 2 cellule cancéreuse</w:t>
            </w:r>
          </w:p>
        </w:tc>
      </w:tr>
      <w:tr w:rsidR="006A7C9B" w:rsidTr="006A7C9B"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1 cellule normale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99.9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99.9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99.9</w:t>
            </w:r>
          </w:p>
        </w:tc>
      </w:tr>
      <w:tr w:rsidR="006A7C9B" w:rsidTr="006A7C9B"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2 cellule normale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</w:tr>
      <w:tr w:rsidR="006A7C9B" w:rsidTr="006A7C9B"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1 cellule cancéreuse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</w:tr>
      <w:tr w:rsidR="006A7C9B" w:rsidTr="006A7C9B"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  <w:r>
              <w:t>Allèle 2 cellule cancéreuse</w:t>
            </w: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2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</w:p>
        </w:tc>
        <w:tc>
          <w:tcPr>
            <w:tcW w:w="1813" w:type="dxa"/>
            <w:vAlign w:val="center"/>
          </w:tcPr>
          <w:p w:rsidR="006A7C9B" w:rsidRDefault="006A7C9B" w:rsidP="006A7C9B">
            <w:pPr>
              <w:jc w:val="center"/>
            </w:pPr>
            <w:r>
              <w:t>100</w:t>
            </w:r>
          </w:p>
        </w:tc>
      </w:tr>
    </w:tbl>
    <w:p w:rsidR="006A7C9B" w:rsidRDefault="006A7C9B"/>
    <w:sectPr w:rsidR="006A7C9B" w:rsidSect="006A7C9B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9B"/>
    <w:rsid w:val="006A7C9B"/>
    <w:rsid w:val="00C6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EF58"/>
  <w15:chartTrackingRefBased/>
  <w15:docId w15:val="{2AF73294-A614-489B-9D25-F888E411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7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2020-04-20T13:38:00Z</dcterms:created>
  <dcterms:modified xsi:type="dcterms:W3CDTF">2020-04-20T14:31:00Z</dcterms:modified>
</cp:coreProperties>
</file>