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70E" w:rsidRDefault="003A370E" w:rsidP="003A3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Quelques données sur les anomalies chromosomiques les plus courantes</w:t>
      </w: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3A370E" w:rsidRPr="003A370E" w:rsidRDefault="003A370E" w:rsidP="003A370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3A370E">
        <w:rPr>
          <w:rFonts w:ascii="Arial" w:hAnsi="Arial" w:cs="Arial"/>
          <w:b/>
          <w:bCs/>
          <w:sz w:val="21"/>
          <w:szCs w:val="21"/>
        </w:rPr>
        <w:t>La trisomie 21 : l’anomalie chromosomique la plus fréquente :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Les personnes porteuses de cette anomalie (1 sujet sur 750) présentent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diverses caractéristiques : nuque large, visage de forme spécifique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(d’où dérive le nom de ≪ mongolisme ≫ autrefois donné à la maladie),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problèmes métaboliques et retard mental plus ou moins important. Ces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caractéristiques ont été décrites sous le nom de syndrome de Down.</w:t>
      </w:r>
    </w:p>
    <w:p w:rsidR="003A370E" w:rsidRPr="003A370E" w:rsidRDefault="003A370E" w:rsidP="003A370E">
      <w:pPr>
        <w:tabs>
          <w:tab w:val="left" w:pos="7938"/>
          <w:tab w:val="left" w:pos="9072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L’espérance de vie des personnes est réduite, même si elle n’a de cesse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de progresser et atteint de nos jours les 55 ans. Les hommes sont stériles,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mais les femmes peuvent se reproduire : elles ont alors 50 % de risque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d’avoir un enfant lui-même trisomique 21.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hAnsi="Arial" w:cs="Arial"/>
          <w:noProof/>
          <w:sz w:val="20"/>
          <w:szCs w:val="20"/>
          <w:lang w:eastAsia="fr-FR"/>
        </w:rPr>
        <w:drawing>
          <wp:inline distT="0" distB="0" distL="0" distR="0">
            <wp:extent cx="5760720" cy="2520315"/>
            <wp:effectExtent l="19050" t="0" r="0" b="0"/>
            <wp:docPr id="1" name="il_fi" descr="http://www.leparisien.fr/images/2012/12/24/2430285_68074db8-4d59-11e2-a4a0-00151780182c_640x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leparisien.fr/images/2012/12/24/2430285_68074db8-4d59-11e2-a4a0-00151780182c_640x28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 xml:space="preserve">L’anomalie </w:t>
      </w:r>
      <w:r>
        <w:rPr>
          <w:rFonts w:ascii="Arial" w:eastAsia="MetaNormalLF-Roman" w:hAnsi="Arial" w:cs="Arial"/>
          <w:sz w:val="20"/>
          <w:szCs w:val="20"/>
        </w:rPr>
        <w:t xml:space="preserve">chromosomique </w:t>
      </w:r>
      <w:r w:rsidRPr="003A370E">
        <w:rPr>
          <w:rFonts w:ascii="Arial" w:eastAsia="MetaNormalLF-Roman" w:hAnsi="Arial" w:cs="Arial"/>
          <w:sz w:val="20"/>
          <w:szCs w:val="20"/>
        </w:rPr>
        <w:t>« symétrique » que constitue la monosomie 21 n’est pas viable. En général, le zygote se développe en embryon de quelques cellules et celui-ci est avorté spontanément.</w:t>
      </w:r>
      <w:r>
        <w:rPr>
          <w:rFonts w:ascii="Arial" w:eastAsia="MetaNormalLF-Roman" w:hAnsi="Arial" w:cs="Arial"/>
          <w:sz w:val="20"/>
          <w:szCs w:val="20"/>
        </w:rPr>
        <w:t xml:space="preserve"> Cette anomalie chromosomique est une des nombreuses explications au fait que seul 1 zygote sur 4 est viable et se développe jusqu’au terme de la grossesse. Parmi ces zygotes viables certains sont malgré tout porteurs d’anomalies.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MetaNormalLF-Roman" w:eastAsia="MetaNormalLF-Roman" w:hAnsi="MetaBoldLF-Roman" w:cs="MetaNormalLF-Roman"/>
          <w:sz w:val="20"/>
          <w:szCs w:val="20"/>
        </w:rPr>
      </w:pP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MetaNormalLF-Roman" w:eastAsia="MetaNormalLF-Roman" w:hAnsi="MetaBoldLF-Roman" w:cs="MetaNormalLF-Roman"/>
          <w:sz w:val="20"/>
          <w:szCs w:val="20"/>
        </w:rPr>
      </w:pPr>
      <w:r>
        <w:rPr>
          <w:rFonts w:ascii="MetaNormalLF-Roman" w:eastAsia="MetaNormalLF-Roman" w:hAnsi="MetaBoldLF-Roman" w:cs="MetaNormalLF-Roman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50.6pt;margin-top:2.9pt;width:551.25pt;height:.75pt;z-index:251658240" o:connectortype="straight"/>
        </w:pict>
      </w: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MetaNormalLF-Roman" w:eastAsia="MetaNormalLF-Roman" w:hAnsi="MetaBoldLF-Roman" w:cs="MetaNormalLF-Roman"/>
          <w:sz w:val="20"/>
          <w:szCs w:val="20"/>
        </w:rPr>
      </w:pP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</w:p>
    <w:p w:rsidR="003A370E" w:rsidRDefault="003A370E" w:rsidP="003A370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3A370E">
        <w:rPr>
          <w:rFonts w:ascii="Arial" w:hAnsi="Arial" w:cs="Arial"/>
          <w:b/>
          <w:bCs/>
          <w:sz w:val="21"/>
          <w:szCs w:val="21"/>
        </w:rPr>
        <w:t>Le syndrome de Turner</w:t>
      </w:r>
      <w:r>
        <w:rPr>
          <w:rFonts w:ascii="Arial" w:hAnsi="Arial" w:cs="Arial"/>
          <w:b/>
          <w:bCs/>
          <w:sz w:val="21"/>
          <w:szCs w:val="21"/>
        </w:rPr>
        <w:t> :</w:t>
      </w:r>
    </w:p>
    <w:p w:rsidR="003A370E" w:rsidRPr="003A370E" w:rsidRDefault="003A370E" w:rsidP="003A370E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Maladie géné</w:t>
      </w:r>
      <w:r w:rsidRPr="003A370E">
        <w:rPr>
          <w:rFonts w:ascii="Arial" w:eastAsia="MetaNormalLF-Roman" w:hAnsi="Arial" w:cs="Arial"/>
          <w:sz w:val="20"/>
          <w:szCs w:val="20"/>
        </w:rPr>
        <w:t xml:space="preserve">tique touchant les femmes, </w:t>
      </w:r>
      <w:r>
        <w:rPr>
          <w:rFonts w:ascii="Arial" w:eastAsia="MetaNormalLF-Roman" w:hAnsi="Arial" w:cs="Arial"/>
          <w:sz w:val="20"/>
          <w:szCs w:val="20"/>
        </w:rPr>
        <w:t>le syndrome de Turner se caracté</w:t>
      </w:r>
      <w:r w:rsidRPr="003A370E">
        <w:rPr>
          <w:rFonts w:ascii="Arial" w:eastAsia="MetaNormalLF-Roman" w:hAnsi="Arial" w:cs="Arial"/>
          <w:sz w:val="20"/>
          <w:szCs w:val="20"/>
        </w:rPr>
        <w:t>rise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par une insuffisance ovarienne, des malformations corporelles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légè</w:t>
      </w:r>
      <w:r w:rsidRPr="003A370E">
        <w:rPr>
          <w:rFonts w:ascii="Arial" w:eastAsia="MetaNormalLF-Roman" w:hAnsi="Arial" w:cs="Arial"/>
          <w:sz w:val="20"/>
          <w:szCs w:val="20"/>
        </w:rPr>
        <w:t>res dont une petit</w:t>
      </w:r>
      <w:r>
        <w:rPr>
          <w:rFonts w:ascii="Arial" w:eastAsia="MetaNormalLF-Roman" w:hAnsi="Arial" w:cs="Arial"/>
          <w:sz w:val="20"/>
          <w:szCs w:val="20"/>
        </w:rPr>
        <w:t>e taille, une absence de caractères sexuels fé</w:t>
      </w:r>
      <w:r w:rsidRPr="003A370E">
        <w:rPr>
          <w:rFonts w:ascii="Arial" w:eastAsia="MetaNormalLF-Roman" w:hAnsi="Arial" w:cs="Arial"/>
          <w:sz w:val="20"/>
          <w:szCs w:val="20"/>
        </w:rPr>
        <w:t>minins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(seins, règles, pilosité pubienne) et une stérilité dé</w:t>
      </w:r>
      <w:r w:rsidRPr="003A370E">
        <w:rPr>
          <w:rFonts w:ascii="Arial" w:eastAsia="MetaNormalLF-Roman" w:hAnsi="Arial" w:cs="Arial"/>
          <w:sz w:val="20"/>
          <w:szCs w:val="20"/>
        </w:rPr>
        <w:t>finitive.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Une telle anomalie chromosomique (un seul chromosome X) est probablement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responsable d’un nombre impor</w:t>
      </w:r>
      <w:r>
        <w:rPr>
          <w:rFonts w:ascii="Arial" w:eastAsia="MetaNormalLF-Roman" w:hAnsi="Arial" w:cs="Arial"/>
          <w:sz w:val="20"/>
          <w:szCs w:val="20"/>
        </w:rPr>
        <w:t>tant de fausses couches spontané</w:t>
      </w:r>
      <w:r w:rsidRPr="003A370E">
        <w:rPr>
          <w:rFonts w:ascii="Arial" w:eastAsia="MetaNormalLF-Roman" w:hAnsi="Arial" w:cs="Arial"/>
          <w:sz w:val="20"/>
          <w:szCs w:val="20"/>
        </w:rPr>
        <w:t>es.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Actuellement, en France, le syndrome de Turner touche environ,</w:t>
      </w:r>
    </w:p>
    <w:p w:rsid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à</w:t>
      </w:r>
      <w:r w:rsidRPr="003A370E">
        <w:rPr>
          <w:rFonts w:ascii="Arial" w:eastAsia="MetaNormalLF-Roman" w:hAnsi="Arial" w:cs="Arial"/>
          <w:sz w:val="20"/>
          <w:szCs w:val="20"/>
        </w:rPr>
        <w:t xml:space="preserve"> la naissance, 1 petite fille sur 2</w:t>
      </w:r>
      <w:r>
        <w:rPr>
          <w:rFonts w:ascii="Arial" w:eastAsia="MetaNormalLF-Roman" w:hAnsi="Arial" w:cs="Arial"/>
          <w:sz w:val="20"/>
          <w:szCs w:val="20"/>
        </w:rPr>
        <w:t> </w:t>
      </w:r>
      <w:r w:rsidRPr="003A370E">
        <w:rPr>
          <w:rFonts w:ascii="Arial" w:eastAsia="MetaNormalLF-Roman" w:hAnsi="Arial" w:cs="Arial"/>
          <w:sz w:val="20"/>
          <w:szCs w:val="20"/>
        </w:rPr>
        <w:t>500.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rPr>
          <w:rFonts w:ascii="Arial" w:eastAsia="MetaNormalLF-Roman" w:hAnsi="Arial" w:cs="Arial"/>
          <w:sz w:val="20"/>
          <w:szCs w:val="20"/>
        </w:rPr>
      </w:pPr>
    </w:p>
    <w:p w:rsidR="003A370E" w:rsidRDefault="003A370E" w:rsidP="003A370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3A370E">
        <w:rPr>
          <w:rFonts w:ascii="Arial" w:hAnsi="Arial" w:cs="Arial"/>
          <w:b/>
          <w:bCs/>
          <w:sz w:val="21"/>
          <w:szCs w:val="21"/>
        </w:rPr>
        <w:t>Le syndrome de Klinefelter</w:t>
      </w:r>
      <w:r>
        <w:rPr>
          <w:rFonts w:ascii="Arial" w:hAnsi="Arial" w:cs="Arial"/>
          <w:b/>
          <w:bCs/>
          <w:sz w:val="21"/>
          <w:szCs w:val="21"/>
        </w:rPr>
        <w:t> :</w:t>
      </w:r>
    </w:p>
    <w:p w:rsidR="003A370E" w:rsidRPr="003A370E" w:rsidRDefault="003A370E" w:rsidP="003A370E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C’est en 1959 que l’origine chr</w:t>
      </w:r>
      <w:r>
        <w:rPr>
          <w:rFonts w:ascii="Arial" w:eastAsia="MetaNormalLF-Roman" w:hAnsi="Arial" w:cs="Arial"/>
          <w:sz w:val="20"/>
          <w:szCs w:val="20"/>
        </w:rPr>
        <w:t>omosomique de ce syndrome fut dé</w:t>
      </w:r>
      <w:r w:rsidRPr="003A370E">
        <w:rPr>
          <w:rFonts w:ascii="Arial" w:eastAsia="MetaNormalLF-Roman" w:hAnsi="Arial" w:cs="Arial"/>
          <w:sz w:val="20"/>
          <w:szCs w:val="20"/>
        </w:rPr>
        <w:t>couverte.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Le syndrome de Klinefelter est u</w:t>
      </w:r>
      <w:r>
        <w:rPr>
          <w:rFonts w:ascii="Arial" w:eastAsia="MetaNormalLF-Roman" w:hAnsi="Arial" w:cs="Arial"/>
          <w:sz w:val="20"/>
          <w:szCs w:val="20"/>
        </w:rPr>
        <w:t>ne maladie chromosomique caractérisé</w:t>
      </w:r>
      <w:r w:rsidRPr="003A370E">
        <w:rPr>
          <w:rFonts w:ascii="Arial" w:eastAsia="MetaNormalLF-Roman" w:hAnsi="Arial" w:cs="Arial"/>
          <w:sz w:val="20"/>
          <w:szCs w:val="20"/>
        </w:rPr>
        <w:t>e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chez l’homme p</w:t>
      </w:r>
      <w:r>
        <w:rPr>
          <w:rFonts w:ascii="Arial" w:eastAsia="MetaNormalLF-Roman" w:hAnsi="Arial" w:cs="Arial"/>
          <w:sz w:val="20"/>
          <w:szCs w:val="20"/>
        </w:rPr>
        <w:t>ar un chromosome sexuel X supplé</w:t>
      </w:r>
      <w:r w:rsidRPr="003A370E">
        <w:rPr>
          <w:rFonts w:ascii="Arial" w:eastAsia="MetaNormalLF-Roman" w:hAnsi="Arial" w:cs="Arial"/>
          <w:sz w:val="20"/>
          <w:szCs w:val="20"/>
        </w:rPr>
        <w:t>mentaire. L’individu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est mâle mais sté</w:t>
      </w:r>
      <w:r w:rsidRPr="003A370E">
        <w:rPr>
          <w:rFonts w:ascii="Arial" w:eastAsia="MetaNormalLF-Roman" w:hAnsi="Arial" w:cs="Arial"/>
          <w:sz w:val="20"/>
          <w:szCs w:val="20"/>
        </w:rPr>
        <w:t xml:space="preserve">rile. Les individus atteints </w:t>
      </w:r>
      <w:r>
        <w:rPr>
          <w:rFonts w:ascii="Arial" w:eastAsia="MetaNormalLF-Roman" w:hAnsi="Arial" w:cs="Arial"/>
          <w:sz w:val="20"/>
          <w:szCs w:val="20"/>
        </w:rPr>
        <w:t>(1 sur 800) pré</w:t>
      </w:r>
      <w:r w:rsidRPr="003A370E">
        <w:rPr>
          <w:rFonts w:ascii="Arial" w:eastAsia="MetaNormalLF-Roman" w:hAnsi="Arial" w:cs="Arial"/>
          <w:sz w:val="20"/>
          <w:szCs w:val="20"/>
        </w:rPr>
        <w:t>sentent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 w:rsidRPr="003A370E">
        <w:rPr>
          <w:rFonts w:ascii="Arial" w:eastAsia="MetaNormalLF-Roman" w:hAnsi="Arial" w:cs="Arial"/>
          <w:sz w:val="20"/>
          <w:szCs w:val="20"/>
        </w:rPr>
        <w:t>tout ou partie de l’</w:t>
      </w:r>
      <w:r>
        <w:rPr>
          <w:rFonts w:ascii="Arial" w:eastAsia="MetaNormalLF-Roman" w:hAnsi="Arial" w:cs="Arial"/>
          <w:sz w:val="20"/>
          <w:szCs w:val="20"/>
        </w:rPr>
        <w:t>ensemble des symptô</w:t>
      </w:r>
      <w:r w:rsidRPr="003A370E">
        <w:rPr>
          <w:rFonts w:ascii="Arial" w:eastAsia="MetaNormalLF-Roman" w:hAnsi="Arial" w:cs="Arial"/>
          <w:sz w:val="20"/>
          <w:szCs w:val="20"/>
        </w:rPr>
        <w:t>mes suivants : taille et poids</w:t>
      </w:r>
    </w:p>
    <w:p w:rsidR="003A370E" w:rsidRPr="003A370E" w:rsidRDefault="003A370E" w:rsidP="003A370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MetaNormalLF-Roman" w:hAnsi="Arial" w:cs="Arial"/>
          <w:sz w:val="20"/>
          <w:szCs w:val="20"/>
        </w:rPr>
      </w:pPr>
      <w:r>
        <w:rPr>
          <w:rFonts w:ascii="Arial" w:eastAsia="MetaNormalLF-Roman" w:hAnsi="Arial" w:cs="Arial"/>
          <w:sz w:val="20"/>
          <w:szCs w:val="20"/>
        </w:rPr>
        <w:t>supérieurs a la moyenne, pilosité anormalement faible, é</w:t>
      </w:r>
      <w:r w:rsidRPr="003A370E">
        <w:rPr>
          <w:rFonts w:ascii="Arial" w:eastAsia="MetaNormalLF-Roman" w:hAnsi="Arial" w:cs="Arial"/>
          <w:sz w:val="20"/>
          <w:szCs w:val="20"/>
        </w:rPr>
        <w:t>ventuellement</w:t>
      </w:r>
    </w:p>
    <w:p w:rsidR="009F7E56" w:rsidRPr="003A370E" w:rsidRDefault="003A370E" w:rsidP="003A370E">
      <w:pPr>
        <w:jc w:val="center"/>
        <w:rPr>
          <w:rFonts w:ascii="Arial" w:hAnsi="Arial" w:cs="Arial"/>
        </w:rPr>
      </w:pPr>
      <w:r w:rsidRPr="003A370E">
        <w:rPr>
          <w:rFonts w:ascii="Arial" w:eastAsia="MetaNormalLF-Roman" w:hAnsi="Arial" w:cs="Arial"/>
          <w:sz w:val="20"/>
          <w:szCs w:val="20"/>
        </w:rPr>
        <w:t>croissance mam</w:t>
      </w:r>
      <w:r>
        <w:rPr>
          <w:rFonts w:ascii="Arial" w:eastAsia="MetaNormalLF-Roman" w:hAnsi="Arial" w:cs="Arial"/>
          <w:sz w:val="20"/>
          <w:szCs w:val="20"/>
        </w:rPr>
        <w:t>maire, faible dosage en testosté</w:t>
      </w:r>
      <w:r w:rsidRPr="003A370E">
        <w:rPr>
          <w:rFonts w:ascii="Arial" w:eastAsia="MetaNormalLF-Roman" w:hAnsi="Arial" w:cs="Arial"/>
          <w:sz w:val="20"/>
          <w:szCs w:val="20"/>
        </w:rPr>
        <w:t>rone.</w:t>
      </w:r>
    </w:p>
    <w:sectPr w:rsidR="009F7E56" w:rsidRPr="003A370E" w:rsidSect="003A370E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taNormalLF-Roman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MetaBoldLF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865A2F"/>
    <w:multiLevelType w:val="hybridMultilevel"/>
    <w:tmpl w:val="4D6C9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A370E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70E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3CFB"/>
    <w:rsid w:val="00B844AA"/>
    <w:rsid w:val="00B84801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A3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37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A37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341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2013-07-21T14:53:00Z</dcterms:created>
  <dcterms:modified xsi:type="dcterms:W3CDTF">2013-07-21T15:07:00Z</dcterms:modified>
</cp:coreProperties>
</file>