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Анализ отзывов компании по продаже мебели</w:t>
      </w:r>
    </w:p>
    <w:p>
      <w:pPr>
        <w:jc w:val="center"/>
      </w:pPr>
      <w:r>
        <w:t>Исправленная версия по замечаниям наставника</w:t>
      </w:r>
    </w:p>
    <w:p>
      <w:pPr>
        <w:pStyle w:val="Heading1"/>
      </w:pPr>
      <w:r>
        <w:t>1. Цель и данные</w:t>
      </w:r>
    </w:p>
    <w:p>
      <w:r>
        <w:t>Цель проекта — определить ключевые потребности и болевые точки клиентов по текстовым отзывам и проверить пять бизнес-гипотез. В качестве единого источника расчётов используется подготовленный файл отзывов, который одновременно является источником для BI-монитора.</w:t>
      </w:r>
    </w:p>
    <w:p>
      <w:r>
        <w:t>После удаления строк без текста/оценки и точных дубликатов используется 2,183 уникальных отзывов. Из них 1,954 имеют дату, 229 — без даты; записи без даты не удаляются. Диапазон дат: 2013-11-18 — 2023-12-31.</w:t>
      </w:r>
    </w:p>
    <w:p>
      <w:pPr>
        <w:pStyle w:val="Heading1"/>
      </w:pPr>
      <w:r>
        <w:t>2. Методика и исправления</w:t>
      </w:r>
    </w:p>
    <w:p>
      <w:pPr>
        <w:pStyle w:val="ListBullet"/>
      </w:pPr>
      <w:r>
        <w:t>Производные признаки пересчитываются одним скриптом analysis_reviews_v2.py; результаты сохраняются в Excel и PNG, поэтому код не только печатает промежуточные значения.</w:t>
      </w:r>
    </w:p>
    <w:p>
      <w:pPr>
        <w:pStyle w:val="ListBullet"/>
      </w:pPr>
      <w:r>
        <w:t>Для тематической категоризации используется токенизация и нормализация русских слов; поиск по сырым подстрокам не используется. В окружении проекта предусмотрена лемматизация через pymorphy3; при отсутствии библиотеки используется детерминированный русский стеммер как fallback.</w:t>
      </w:r>
    </w:p>
    <w:p>
      <w:pPr>
        <w:pStyle w:val="ListBullet"/>
      </w:pPr>
      <w:r>
        <w:t>Для быстрой/проблемной доставки требуется совместное попадание термина о доставке/привозе/курьере и термина о скорости в одном предложении. Поэтому фразы вроде «быстро подобрали» без доставки не попадают в H2.</w:t>
      </w:r>
    </w:p>
    <w:p>
      <w:pPr>
        <w:pStyle w:val="ListBullet"/>
      </w:pPr>
      <w:r>
        <w:t>Для H1 используется парное сравнение двух бинарных признаков в негативных отзывах с точным биномиальным тестом McNemar-подобного типа; для H2 и H4 используются Mann–Whitney, а для долей — χ².</w:t>
      </w:r>
    </w:p>
    <w:p>
      <w:pPr>
        <w:pStyle w:val="ListBullet"/>
      </w:pPr>
      <w:r>
        <w:t>Эмоциональная тональность представлена отдельным лексиконным score, меткой positive/neutral/negative и интенсивностью |score|. Восклицательные знаки оставлены только как дополнительный показатель интенсивности.</w:t>
      </w:r>
    </w:p>
    <w:p>
      <w:pPr>
        <w:pStyle w:val="ListBullet"/>
      </w:pPr>
      <w:r>
        <w:t>Добавлен отдельный модуль YandexGPT для валидации выборки. Его ответы не смешиваются с основными статистическими расчётами, чтобы не нарушать воспроизводимость. Запуск требует YANDEX_GPT_API_KEY и YANDEX_CLOUD_FOLDER_ID.</w:t>
      </w:r>
    </w:p>
    <w:p>
      <w:pPr>
        <w:pStyle w:val="ListBullet"/>
      </w:pPr>
      <w:r>
        <w:t>Добавлены первичный анализ, распределение оценок, частотность тематик, динамика по месяцам и разрезы по компаниям.</w:t>
      </w:r>
    </w:p>
    <w:p>
      <w:pPr>
        <w:pStyle w:val="Heading1"/>
      </w:pPr>
      <w:r>
        <w:t>3. Первичный анализ</w:t>
      </w:r>
    </w:p>
    <w:p>
      <w:r>
        <w:t>Оценки 4–5 составляют 79.4% базы, оценки 1–3 — 20.6%. Наиболее частая оценка — 5 (1,475 отзывов, 67.6%).</w:t>
      </w:r>
    </w:p>
    <w:p>
      <w:r>
        <w:t>Частотность тематик показывает, что один отзыв может содержать несколько проблем, поэтому суммы тематик не равны числу отзывов. В новой разметке использованы только воспроизводимые признаки; для H2 действует отдельное более строгое правило контекста доставки.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Оценка</w:t>
            </w:r>
          </w:p>
        </w:tc>
        <w:tc>
          <w:tcPr>
            <w:tcW w:type="dxa" w:w="4968"/>
          </w:tcPr>
          <w:p>
            <w:r>
              <w:t>Количество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247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62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141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258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1475</w:t>
            </w:r>
          </w:p>
        </w:tc>
      </w:tr>
    </w:tbl>
    <w:p>
      <w:pPr>
        <w:pStyle w:val="Heading1"/>
      </w:pPr>
      <w:r>
        <w:t>4. Проверка гипотез</w:t>
      </w:r>
    </w:p>
    <w:p>
      <w:pPr>
        <w:pStyle w:val="Heading2"/>
      </w:pPr>
      <w:r>
        <w:t>Гипотеза 1 — негатив чаще связан с сервисом, чем с качеством мебели</w:t>
      </w:r>
    </w:p>
    <w:p>
      <w:r>
        <w:t>Вердикт: Подтверждена.</w:t>
      </w:r>
    </w:p>
    <w:p>
      <w:r>
        <w:t>В 450 негативных отзывах сервис отмечен в 179 случаях, качество мебели — в 112. Разница статистически значима: p=2.71e-07. Категории не являются взаимоисключающими, поэтому один отзыв может попасть в обе группы. В отличие от прежней версии, вывод не основан на разнице 2 упоминаний.</w:t>
      </w:r>
    </w:p>
    <w:p>
      <w:pPr>
        <w:pStyle w:val="Heading2"/>
      </w:pPr>
      <w:r>
        <w:t>Гипотеза 2 — высокая скорость доставки повышает вероятность положительной оценки</w:t>
      </w:r>
    </w:p>
    <w:p>
      <w:r>
        <w:t>Вердикт: Подтверждена по текстовому прокси.</w:t>
      </w:r>
    </w:p>
    <w:p>
      <w:r>
        <w:t>После ужесточения правила осталось 72 отзывов с явным признаком быстрой доставки и 35 с явным признаком проблемной доставки — всего 107 отзывов, или 4.9% базы. Средняя оценка: 4.92 против 2.71; доля оценок 4–5: 97.2% против 42.9%. Mann–Whitney p=3.66e-14. Вывод относится только к текстовому прокси и не доказывает причинный эффект фактической скорости, так как в данных нет плановой и фактической даты доставки.</w:t>
      </w:r>
    </w:p>
    <w:p>
      <w:pPr>
        <w:pStyle w:val="Heading2"/>
      </w:pPr>
      <w:r>
        <w:t>Гипотеза 3 — наиболее частая причина возвратов/претензий — несоответствие описанию</w:t>
      </w:r>
    </w:p>
    <w:p>
      <w:r>
        <w:t>Вердикт: Не подтверждена.</w:t>
      </w:r>
    </w:p>
    <w:p>
      <w:r>
        <w:t>В новой строгой разметке найдено 111 отзывов с признаками возврата/претензии. Среди них: сервис — 73, качество — 54, доставка — 46, цена — 30, явное несоответствие описанию по строгому правилу — 0. Поэтому гипотеза не подтверждается. Строгое правило намеренно не засчитывает любое упоминание слова «описание» как несоответствие. Для окончательной проверки бизнесу нужны структурированные CRM-причины возврата.</w:t>
      </w:r>
    </w:p>
    <w:p>
      <w:pPr>
        <w:pStyle w:val="Heading2"/>
      </w:pPr>
      <w:r>
        <w:t>Гипотеза 4 — мягкая мебель даёт более длинные и эмоциональные отзывы</w:t>
      </w:r>
    </w:p>
    <w:p>
      <w:r>
        <w:t>Вердикт: Не подтверждена.</w:t>
      </w:r>
    </w:p>
    <w:p>
      <w:r>
        <w:t>После исключения отзывов, где одновременно встречаются признаки обоих типов, осталось 292 отзывов о мягкой мебели и 349 о корпусной — 29.4% базы. Средняя длина: 39.94 и 42.61 слов; p=0.11. Средняя интенсивность лексиконной тональности: 0.056 и 0.061; p=0.172. Направление по длине противоположно гипотезе, а по интенсивности статистически значимой разницы нет. Поэтому гипотеза не подтверждается.</w:t>
      </w:r>
    </w:p>
    <w:p>
      <w:pPr>
        <w:pStyle w:val="Heading2"/>
      </w:pPr>
      <w:r>
        <w:t>Гипотеза 5 — чем выше цена, тем подробнее отзыв</w:t>
      </w:r>
    </w:p>
    <w:p>
      <w:r>
        <w:t>Вердикт: Невозможно проверить.</w:t>
      </w:r>
    </w:p>
    <w:p>
      <w:r>
        <w:t>В наборе нет надёжной числовой цены конкретного заказа и идентификатора товара, который связывал бы цену с отзывом. Упоминания слов «цена», «дорогой», «скидка» не являются заменой фактической цены. Для проверки нужны цена заказа/товара, ID товара и текст отзыва; после этого можно использовать корреляцию и регрессию или сравнение ценовых квантилей.</w:t>
      </w:r>
    </w:p>
    <w:p>
      <w:pPr>
        <w:pStyle w:val="Heading1"/>
      </w:pPr>
      <w:r>
        <w:t>5. Разрезы по компаниям и периодам</w:t>
      </w:r>
    </w:p>
    <w:p>
      <w:r>
        <w:t>Для практической части добавлен разрез по компаниям. В таблице результатов есть число отзывов, средняя оценка, доля негатива и упоминания ключевых проблем. Всего в датах — 77 месячных периодов. Это позволяет анализировать динамику и не ограничиваться общей цифрой по всей базе.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Компания</w:t>
            </w:r>
          </w:p>
        </w:tc>
        <w:tc>
          <w:tcPr>
            <w:tcW w:type="dxa" w:w="2484"/>
          </w:tcPr>
          <w:p>
            <w:r>
              <w:t>Отзывы</w:t>
            </w:r>
          </w:p>
        </w:tc>
        <w:tc>
          <w:tcPr>
            <w:tcW w:type="dxa" w:w="2484"/>
          </w:tcPr>
          <w:p>
            <w:r>
              <w:t>Средняя оценка</w:t>
            </w:r>
          </w:p>
        </w:tc>
        <w:tc>
          <w:tcPr>
            <w:tcW w:type="dxa" w:w="2484"/>
          </w:tcPr>
          <w:p>
            <w:r>
              <w:t>Доля негатива</w:t>
            </w:r>
          </w:p>
        </w:tc>
      </w:tr>
      <w:tr>
        <w:tc>
          <w:tcPr>
            <w:tcW w:type="dxa" w:w="2484"/>
          </w:tcPr>
          <w:p>
            <w:r>
              <w:t>Мир мебели</w:t>
            </w:r>
          </w:p>
        </w:tc>
        <w:tc>
          <w:tcPr>
            <w:tcW w:type="dxa" w:w="2484"/>
          </w:tcPr>
          <w:p>
            <w:r>
              <w:t>176</w:t>
            </w:r>
          </w:p>
        </w:tc>
        <w:tc>
          <w:tcPr>
            <w:tcW w:type="dxa" w:w="2484"/>
          </w:tcPr>
          <w:p>
            <w:r>
              <w:t>4.66</w:t>
            </w:r>
          </w:p>
        </w:tc>
        <w:tc>
          <w:tcPr>
            <w:tcW w:type="dxa" w:w="2484"/>
          </w:tcPr>
          <w:p>
            <w:r>
              <w:t>9.1%</w:t>
            </w:r>
          </w:p>
        </w:tc>
      </w:tr>
      <w:tr>
        <w:tc>
          <w:tcPr>
            <w:tcW w:type="dxa" w:w="2484"/>
          </w:tcPr>
          <w:p>
            <w:r>
              <w:t>Много Мебели</w:t>
            </w:r>
          </w:p>
        </w:tc>
        <w:tc>
          <w:tcPr>
            <w:tcW w:type="dxa" w:w="2484"/>
          </w:tcPr>
          <w:p>
            <w:r>
              <w:t>166</w:t>
            </w:r>
          </w:p>
        </w:tc>
        <w:tc>
          <w:tcPr>
            <w:tcW w:type="dxa" w:w="2484"/>
          </w:tcPr>
          <w:p>
            <w:r>
              <w:t>3.36</w:t>
            </w:r>
          </w:p>
        </w:tc>
        <w:tc>
          <w:tcPr>
            <w:tcW w:type="dxa" w:w="2484"/>
          </w:tcPr>
          <w:p>
            <w:r>
              <w:t>42.8%</w:t>
            </w:r>
          </w:p>
        </w:tc>
      </w:tr>
      <w:tr>
        <w:tc>
          <w:tcPr>
            <w:tcW w:type="dxa" w:w="2484"/>
          </w:tcPr>
          <w:p>
            <w:r>
              <w:t>АМТ</w:t>
            </w:r>
          </w:p>
        </w:tc>
        <w:tc>
          <w:tcPr>
            <w:tcW w:type="dxa" w:w="2484"/>
          </w:tcPr>
          <w:p>
            <w:r>
              <w:t>151</w:t>
            </w:r>
          </w:p>
        </w:tc>
        <w:tc>
          <w:tcPr>
            <w:tcW w:type="dxa" w:w="2484"/>
          </w:tcPr>
          <w:p>
            <w:r>
              <w:t>4.32</w:t>
            </w:r>
          </w:p>
        </w:tc>
        <w:tc>
          <w:tcPr>
            <w:tcW w:type="dxa" w:w="2484"/>
          </w:tcPr>
          <w:p>
            <w:r>
              <w:t>17.2%</w:t>
            </w:r>
          </w:p>
        </w:tc>
      </w:tr>
      <w:tr>
        <w:tc>
          <w:tcPr>
            <w:tcW w:type="dxa" w:w="2484"/>
          </w:tcPr>
          <w:p>
            <w:r>
              <w:t>Октябрьский</w:t>
            </w:r>
          </w:p>
        </w:tc>
        <w:tc>
          <w:tcPr>
            <w:tcW w:type="dxa" w:w="2484"/>
          </w:tcPr>
          <w:p>
            <w:r>
              <w:t>94</w:t>
            </w:r>
          </w:p>
        </w:tc>
        <w:tc>
          <w:tcPr>
            <w:tcW w:type="dxa" w:w="2484"/>
          </w:tcPr>
          <w:p>
            <w:r>
              <w:t>4.48</w:t>
            </w:r>
          </w:p>
        </w:tc>
        <w:tc>
          <w:tcPr>
            <w:tcW w:type="dxa" w:w="2484"/>
          </w:tcPr>
          <w:p>
            <w:r>
              <w:t>13.8%</w:t>
            </w:r>
          </w:p>
        </w:tc>
      </w:tr>
      <w:tr>
        <w:tc>
          <w:tcPr>
            <w:tcW w:type="dxa" w:w="2484"/>
          </w:tcPr>
          <w:p>
            <w:r>
              <w:t>DaVita</w:t>
            </w:r>
          </w:p>
        </w:tc>
        <w:tc>
          <w:tcPr>
            <w:tcW w:type="dxa" w:w="2484"/>
          </w:tcPr>
          <w:p>
            <w:r>
              <w:t>77</w:t>
            </w:r>
          </w:p>
        </w:tc>
        <w:tc>
          <w:tcPr>
            <w:tcW w:type="dxa" w:w="2484"/>
          </w:tcPr>
          <w:p>
            <w:r>
              <w:t>4.81</w:t>
            </w:r>
          </w:p>
        </w:tc>
        <w:tc>
          <w:tcPr>
            <w:tcW w:type="dxa" w:w="2484"/>
          </w:tcPr>
          <w:p>
            <w:r>
              <w:t>5.2%</w:t>
            </w:r>
          </w:p>
        </w:tc>
      </w:tr>
      <w:tr>
        <w:tc>
          <w:tcPr>
            <w:tcW w:type="dxa" w:w="2484"/>
          </w:tcPr>
          <w:p>
            <w:r>
              <w:t>Мебельный Двор</w:t>
            </w:r>
          </w:p>
        </w:tc>
        <w:tc>
          <w:tcPr>
            <w:tcW w:type="dxa" w:w="2484"/>
          </w:tcPr>
          <w:p>
            <w:r>
              <w:t>74</w:t>
            </w:r>
          </w:p>
        </w:tc>
        <w:tc>
          <w:tcPr>
            <w:tcW w:type="dxa" w:w="2484"/>
          </w:tcPr>
          <w:p>
            <w:r>
              <w:t>3.81</w:t>
            </w:r>
          </w:p>
        </w:tc>
        <w:tc>
          <w:tcPr>
            <w:tcW w:type="dxa" w:w="2484"/>
          </w:tcPr>
          <w:p>
            <w:r>
              <w:t>32.4%</w:t>
            </w:r>
          </w:p>
        </w:tc>
      </w:tr>
      <w:tr>
        <w:tc>
          <w:tcPr>
            <w:tcW w:type="dxa" w:w="2484"/>
          </w:tcPr>
          <w:p>
            <w:r>
              <w:t>Бабр</w:t>
            </w:r>
          </w:p>
        </w:tc>
        <w:tc>
          <w:tcPr>
            <w:tcW w:type="dxa" w:w="2484"/>
          </w:tcPr>
          <w:p>
            <w:r>
              <w:t>71</w:t>
            </w:r>
          </w:p>
        </w:tc>
        <w:tc>
          <w:tcPr>
            <w:tcW w:type="dxa" w:w="2484"/>
          </w:tcPr>
          <w:p>
            <w:r>
              <w:t>4.31</w:t>
            </w:r>
          </w:p>
        </w:tc>
        <w:tc>
          <w:tcPr>
            <w:tcW w:type="dxa" w:w="2484"/>
          </w:tcPr>
          <w:p>
            <w:r>
              <w:t>15.5%</w:t>
            </w:r>
          </w:p>
        </w:tc>
      </w:tr>
      <w:tr>
        <w:tc>
          <w:tcPr>
            <w:tcW w:type="dxa" w:w="2484"/>
          </w:tcPr>
          <w:p>
            <w:r>
              <w:t>Ультра</w:t>
            </w:r>
          </w:p>
        </w:tc>
        <w:tc>
          <w:tcPr>
            <w:tcW w:type="dxa" w:w="2484"/>
          </w:tcPr>
          <w:p>
            <w:r>
              <w:t>66</w:t>
            </w:r>
          </w:p>
        </w:tc>
        <w:tc>
          <w:tcPr>
            <w:tcW w:type="dxa" w:w="2484"/>
          </w:tcPr>
          <w:p>
            <w:r>
              <w:t>4.58</w:t>
            </w:r>
          </w:p>
        </w:tc>
        <w:tc>
          <w:tcPr>
            <w:tcW w:type="dxa" w:w="2484"/>
          </w:tcPr>
          <w:p>
            <w:r>
              <w:t>12.1%</w:t>
            </w:r>
          </w:p>
        </w:tc>
      </w:tr>
      <w:tr>
        <w:tc>
          <w:tcPr>
            <w:tcW w:type="dxa" w:w="2484"/>
          </w:tcPr>
          <w:p>
            <w:r>
              <w:t>Домашний</w:t>
            </w:r>
          </w:p>
        </w:tc>
        <w:tc>
          <w:tcPr>
            <w:tcW w:type="dxa" w:w="2484"/>
          </w:tcPr>
          <w:p>
            <w:r>
              <w:t>58</w:t>
            </w:r>
          </w:p>
        </w:tc>
        <w:tc>
          <w:tcPr>
            <w:tcW w:type="dxa" w:w="2484"/>
          </w:tcPr>
          <w:p>
            <w:r>
              <w:t>4.52</w:t>
            </w:r>
          </w:p>
        </w:tc>
        <w:tc>
          <w:tcPr>
            <w:tcW w:type="dxa" w:w="2484"/>
          </w:tcPr>
          <w:p>
            <w:r>
              <w:t>8.6%</w:t>
            </w:r>
          </w:p>
        </w:tc>
      </w:tr>
      <w:tr>
        <w:tc>
          <w:tcPr>
            <w:tcW w:type="dxa" w:w="2484"/>
          </w:tcPr>
          <w:p>
            <w:r>
              <w:t>Сарма</w:t>
            </w:r>
          </w:p>
        </w:tc>
        <w:tc>
          <w:tcPr>
            <w:tcW w:type="dxa" w:w="2484"/>
          </w:tcPr>
          <w:p>
            <w:r>
              <w:t>54</w:t>
            </w:r>
          </w:p>
        </w:tc>
        <w:tc>
          <w:tcPr>
            <w:tcW w:type="dxa" w:w="2484"/>
          </w:tcPr>
          <w:p>
            <w:r>
              <w:t>3.96</w:t>
            </w:r>
          </w:p>
        </w:tc>
        <w:tc>
          <w:tcPr>
            <w:tcW w:type="dxa" w:w="2484"/>
          </w:tcPr>
          <w:p>
            <w:r>
              <w:t>29.6%</w:t>
            </w:r>
          </w:p>
        </w:tc>
      </w:tr>
    </w:tbl>
    <w:p>
      <w:pPr>
        <w:pStyle w:val="Heading1"/>
      </w:pPr>
      <w:r>
        <w:t>6. Бизнес-рекомендации</w:t>
      </w:r>
    </w:p>
    <w:p>
      <w:pPr>
        <w:pStyle w:val="ListNumber"/>
      </w:pPr>
      <w:r>
        <w:t>Улучшать сервис и продукт одновременно: по новой разметке сервисные признаки в негативных отзывах встречаются чаще качественных.</w:t>
      </w:r>
    </w:p>
    <w:p>
      <w:pPr>
        <w:pStyle w:val="ListNumber"/>
      </w:pPr>
      <w:r>
        <w:t>Контролировать сроки доставки и отдельно собирать плановую/фактическую дату доставки, чтобы заменить текстовый прокси фактической метрикой.</w:t>
      </w:r>
    </w:p>
    <w:p>
      <w:pPr>
        <w:pStyle w:val="ListNumber"/>
      </w:pPr>
      <w:r>
        <w:t>В CRM разделить причины возвратов на структурированные категории и связывать их с товаром и заказом.</w:t>
      </w:r>
    </w:p>
    <w:p>
      <w:pPr>
        <w:pStyle w:val="ListNumber"/>
      </w:pPr>
      <w:r>
        <w:t>Для карточек товара фиксировать характеристики, размеры, цвет, комплектацию и фото, но не считать любое слово «описание» доказательством несоответствия.</w:t>
      </w:r>
    </w:p>
    <w:p>
      <w:pPr>
        <w:pStyle w:val="ListNumber"/>
      </w:pPr>
      <w:r>
        <w:t>Добавить цену, ID товара, категорию товара, плановую и фактическую дату доставки, факт возврата и причину возврата.</w:t>
      </w:r>
    </w:p>
    <w:p>
      <w:pPr>
        <w:pStyle w:val="ListNumber"/>
      </w:pPr>
      <w:r>
        <w:t>Использовать YandexGPT как дополнительный слой проверки выборки: сравнивать LLM-разметку с детерминированными правилами и считать precision/recall на ручной контрольной выборке.</w:t>
      </w:r>
    </w:p>
    <w:p>
      <w:pPr>
        <w:pStyle w:val="Heading1"/>
      </w:pPr>
      <w:r>
        <w:t>7. Ограничения</w:t>
      </w:r>
    </w:p>
    <w:p>
      <w:pPr>
        <w:pStyle w:val="ListBullet"/>
      </w:pPr>
      <w:r>
        <w:t>Проверка H2 основана на 4.9% базы, поэтому результат нельзя автоматически переносить на все отзывы.</w:t>
      </w:r>
    </w:p>
    <w:p>
      <w:pPr>
        <w:pStyle w:val="ListBullet"/>
      </w:pPr>
      <w:r>
        <w:t>Проверка H4 основана на 29.4% базы и исключает смешанные упоминания типов мебели.</w:t>
      </w:r>
    </w:p>
    <w:p>
      <w:pPr>
        <w:pStyle w:val="ListBullet"/>
      </w:pPr>
      <w:r>
        <w:t>Тональность в основной версии — лексиконная, а не полноценная нейросетевая модель; YandexGPT подключён как отдельный контур валидации.</w:t>
      </w:r>
    </w:p>
    <w:p>
      <w:pPr>
        <w:pStyle w:val="ListBullet"/>
      </w:pPr>
      <w:r>
        <w:t>Текстовая категоризация не заменяет структурированные CRM-данные о заказе, доставке и возврате.</w:t>
      </w:r>
    </w:p>
    <w:p>
      <w:pPr>
        <w:pStyle w:val="Heading1"/>
      </w:pPr>
      <w:r>
        <w:t>8. Файлы проекта</w:t>
      </w:r>
    </w:p>
    <w:p>
      <w:pPr>
        <w:pStyle w:val="ListBullet"/>
      </w:pPr>
      <w:r>
        <w:t>analysis_reviews_v2.py — единый воспроизводимый скрипт.</w:t>
      </w:r>
    </w:p>
    <w:p>
      <w:pPr>
        <w:pStyle w:val="ListBullet"/>
      </w:pPr>
      <w:r>
        <w:t>отзывы_мебели_АНАЛИЗ_v2.xlsx — рассчитанные признаки и аналитические таблицы.</w:t>
      </w:r>
    </w:p>
    <w:p>
      <w:pPr>
        <w:pStyle w:val="ListBullet"/>
      </w:pPr>
      <w:r>
        <w:t>outputs/*.png — графики для отчёта и BI.</w:t>
      </w:r>
    </w:p>
    <w:p>
      <w:pPr>
        <w:pStyle w:val="ListBullet"/>
      </w:pPr>
      <w:r>
        <w:t>requirements.txt — окружение проекта.</w:t>
      </w:r>
    </w:p>
    <w:p>
      <w:pPr>
        <w:pStyle w:val="ListBullet"/>
      </w:pPr>
      <w:r>
        <w:t>gpt_validation_prompt.md — схема YandexGPT-валидации.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