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B2A49"/>
          <w:sz w:val="72"/>
          <w:szCs w:val="72"/>
        </w:rPr>
        <w:t xml:space="preserve">BlindOrbit</w:t>
      </w:r>
    </w:p>
    <w:p>
      <w:pPr>
        <w:pBdr>
          <w:bottom w:val="single" w:color="2E6BE6" w:sz="12" w:space="8"/>
        </w:pBdr>
        <w:spacing w:after="240"/>
      </w:pPr>
      <w:r>
        <w:rPr>
          <w:color w:val="5A6472"/>
          <w:sz w:val="30"/>
          <w:szCs w:val="30"/>
        </w:rPr>
        <w:t xml:space="preserve">Collision-avoidance coordination between rival satellite operators, with no master key</w:t>
      </w:r>
    </w:p>
    <w:p>
      <w:pPr>
        <w:spacing w:after="60" w:before="240"/>
      </w:pPr>
      <w:r>
        <w:rPr>
          <w:b/>
          <w:bCs/>
          <w:color w:val="1B2A49"/>
          <w:sz w:val="24"/>
          <w:szCs w:val="24"/>
        </w:rPr>
        <w:t xml:space="preserve">Application overview</w:t>
      </w:r>
    </w:p>
    <w:p>
      <w:pPr>
        <w:spacing w:after="40"/>
      </w:pPr>
      <w:r>
        <w:rPr>
          <w:b/>
          <w:bCs/>
        </w:rPr>
        <w:t xml:space="preserve">Project: </w:t>
      </w:r>
      <w:r>
        <w:t xml:space="preserve">rmit-claude-challenge-2 (BlindOrbit)</w:t>
      </w:r>
    </w:p>
    <w:p>
      <w:pPr>
        <w:spacing w:after="40"/>
      </w:pPr>
      <w:r>
        <w:rPr>
          <w:b/>
          <w:bCs/>
        </w:rPr>
        <w:t xml:space="preserve">Repository: </w:t>
      </w:r>
      <w:r>
        <w:t xml:space="preserve">github.com/Sshinyaaaa/rmit-claude-challenge-2</w:t>
      </w:r>
    </w:p>
    <w:p>
      <w:pPr>
        <w:spacing w:after="40"/>
      </w:pPr>
      <w:r>
        <w:rPr>
          <w:b/>
          <w:bCs/>
        </w:rPr>
        <w:t xml:space="preserve">Trust layer: </w:t>
      </w:r>
      <w:r>
        <w:t xml:space="preserve">TideCloak (Tide Protocol)</w:t>
      </w:r>
    </w:p>
    <w:p>
      <w:pPr>
        <w:spacing w:after="400"/>
      </w:pPr>
      <w:r>
        <w:rPr>
          <w:b/>
          <w:bCs/>
        </w:rPr>
        <w:t xml:space="preserve">Status: </w:t>
      </w:r>
      <w:r>
        <w:t xml:space="preserve">Hackathon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6BE6" w:sz="24"/>
              <w:bottom w:val="none" w:color="FFFFFF" w:sz="0"/>
              <w:right w:val="none" w:color="FFFFFF" w:sz="0"/>
            </w:tcBorders>
            <w:shd w:fill="EEF3FC" w:color="auto" w:val="clear"/>
            <w:tcMar>
              <w:top w:type="dxa" w:w="140"/>
              <w:left w:type="dxa" w:w="200"/>
              <w:bottom w:type="dxa" w:w="140"/>
              <w:right w:type="dxa" w:w="200"/>
            </w:tcMar>
          </w:tcPr>
          <w:p>
            <w:pPr>
              <w:spacing w:after="60"/>
            </w:pPr>
            <w:r>
              <w:rPr>
                <w:b/>
                <w:bCs/>
                <w:color w:val="1B2A49"/>
              </w:rPr>
              <w:t xml:space="preserve">In one sentence</w:t>
            </w:r>
          </w:p>
          <w:p>
            <w:pPr>
              <w:spacing w:after="0" w:line="290"/>
            </w:pPr>
            <w:r>
              <w:t xml:space="preserve">BlindOrbit lets a defence ministry and a commercial satellite operator work out a collision-avoidance manoeuvre together, without either one handing its trajectory to a clearinghouse. The authority to read both orbits only appears when a quorum of operators approves it.</w:t>
            </w:r>
          </w:p>
        </w:tc>
      </w:tr>
    </w:tbl>
    <w:p>
      <w:r>
        <w:br w:type="page"/>
      </w:r>
    </w:p>
    <w:p>
      <w:pPr>
        <w:pStyle w:val="Heading1"/>
      </w:pPr>
      <w:r>
        <w:t xml:space="preserve">1. The problem</w:t>
      </w:r>
    </w:p>
    <w:p>
      <w:pPr>
        <w:spacing w:after="140" w:line="300"/>
      </w:pPr>
      <w:r>
        <w:t xml:space="preserve">Low Earth orbit holds more than ten thousand active satellites, and close approaches (known as conjunctions) are now routine. To avoid a collision, both operators’ precise trajectories are needed: one side computes the risk, and one side burns fuel to move.</w:t>
      </w:r>
    </w:p>
    <w:p>
      <w:pPr>
        <w:spacing w:after="140" w:line="300"/>
      </w:pPr>
      <w:r>
        <w:t xml:space="preserve">The operators most likely to collide often cannot share that data. A defence ministry will not release a classified satellite’s orbit, and a commercial operator guards its own fleet data.</w:t>
      </w:r>
    </w:p>
    <w:p>
      <w:pPr>
        <w:spacing w:after="140" w:line="300"/>
      </w:pPr>
      <w:r>
        <w:t xml:space="preserve">Today’s workaround is a central clearinghouse that receives everyone’s unredacted trajectories. That creates a new problem: whoever holds the clearinghouse key, whether an administrator, an insider or an attacker, holds a live surveillance map of every satellite. As a result, operators share less, later, or not at all, and collision risk goes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6BE6" w:sz="24"/>
              <w:bottom w:val="none" w:color="FFFFFF" w:sz="0"/>
              <w:right w:val="none" w:color="FFFFFF" w:sz="0"/>
            </w:tcBorders>
            <w:shd w:fill="EEF3FC" w:color="auto" w:val="clear"/>
            <w:tcMar>
              <w:top w:type="dxa" w:w="140"/>
              <w:left w:type="dxa" w:w="200"/>
              <w:bottom w:type="dxa" w:w="140"/>
              <w:right w:type="dxa" w:w="200"/>
            </w:tcMar>
          </w:tcPr>
          <w:p>
            <w:pPr>
              <w:spacing w:after="60"/>
            </w:pPr>
            <w:r>
              <w:rPr>
                <w:b/>
                <w:bCs/>
                <w:color w:val="1B2A49"/>
              </w:rPr>
              <w:t xml:space="preserve">The core insight</w:t>
            </w:r>
          </w:p>
          <w:p>
            <w:pPr>
              <w:spacing w:after="0" w:line="290"/>
            </w:pPr>
            <w:r>
              <w:t xml:space="preserve">The real constraint is not encryption. It is that somebody can always decrypt. Remove the master key, and the clearinghouse stops being a target.</w:t>
            </w:r>
          </w:p>
        </w:tc>
      </w:tr>
    </w:tbl>
    <w:p>
      <w:pPr>
        <w:spacing w:after="120"/>
      </w:pPr>
    </w:p>
    <w:p>
      <w:pPr>
        <w:pStyle w:val="Heading1"/>
      </w:pPr>
      <w:r>
        <w:t xml:space="preserve">2. What BlindOrbit does</w:t>
      </w:r>
    </w:p>
    <w:p>
      <w:pPr>
        <w:spacing w:after="140" w:line="300"/>
      </w:pPr>
      <w:r>
        <w:t xml:space="preserve">BlindOrbit is a coordination platform with no master key. Each operator’s trajectory is encrypted before storage, and the server only ever holds ciphertext.</w:t>
      </w:r>
    </w:p>
    <w:p>
      <w:pPr>
        <w:spacing w:after="140" w:line="300"/>
      </w:pPr>
      <w:r>
        <w:t xml:space="preserve">When radar predicts a close approach, an operator requests a conjunction assessment. That files a request to grant a special role, conjunction-assessor, which is the only identity permitted to decrypt both trajectories. The grant takes effect only when a quorum of operators approves it, each inside their own secure Tide enclave.</w:t>
      </w:r>
    </w:p>
    <w:p>
      <w:pPr>
        <w:pStyle w:val="Heading2"/>
      </w:pPr>
      <w:r>
        <w:t xml:space="preserve">Who can read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Actor</w:t>
            </w:r>
          </w:p>
        </w:tc>
        <w:tc>
          <w:tcPr>
            <w:tcW w:type="dxa" w:w="2000"/>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Outcome</w:t>
            </w:r>
          </w:p>
        </w:tc>
        <w:tc>
          <w:tcPr>
            <w:tcW w:type="dxa" w:w="4426"/>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Why</w:t>
            </w:r>
          </w:p>
        </w:tc>
      </w:tr>
      <w:t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Platform admin</w:t>
            </w:r>
          </w:p>
        </w:tc>
        <w:tc>
          <w:tcPr>
            <w:tcW w:type="dxa" w:w="20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Refused</w:t>
            </w:r>
          </w:p>
        </w:tc>
        <w:tc>
          <w:tcPr>
            <w:tcW w:type="dxa" w:w="44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Every node in the Tide ORK network refuses the decryption. The app’s own code makes no access decision.</w:t>
            </w:r>
          </w:p>
        </w:tc>
      </w:tr>
      <w:tr>
        <w:tc>
          <w:tcPr>
            <w:tcW w:type="dxa" w:w="26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Compromised server</w:t>
            </w:r>
          </w:p>
        </w:tc>
        <w:tc>
          <w:tcPr>
            <w:tcW w:type="dxa" w:w="20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Refused</w:t>
            </w:r>
          </w:p>
        </w:tc>
        <w:tc>
          <w:tcPr>
            <w:tcW w:type="dxa" w:w="44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The server stores only ciphertext and holds no keys.</w:t>
            </w:r>
          </w:p>
        </w:tc>
      </w:tr>
      <w:t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One operator alone</w:t>
            </w:r>
          </w:p>
        </w:tc>
        <w:tc>
          <w:tcPr>
            <w:tcW w:type="dxa" w:w="20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Refused</w:t>
            </w:r>
          </w:p>
        </w:tc>
        <w:tc>
          <w:tcPr>
            <w:tcW w:type="dxa" w:w="44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Below quorum, so the conjunction-assessor role is never granted.</w:t>
            </w:r>
          </w:p>
        </w:tc>
      </w:tr>
      <w:tr>
        <w:tc>
          <w:tcPr>
            <w:tcW w:type="dxa" w:w="26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Quorum of operators</w:t>
            </w:r>
          </w:p>
        </w:tc>
        <w:tc>
          <w:tcPr>
            <w:tcW w:type="dxa" w:w="20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Allowed</w:t>
            </w:r>
          </w:p>
        </w:tc>
        <w:tc>
          <w:tcPr>
            <w:tcW w:type="dxa" w:w="44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The role is committed, both trajectories decrypt in the acting operator’s browser.</w:t>
            </w:r>
          </w:p>
        </w:tc>
      </w:tr>
    </w:tbl>
    <w:p>
      <w:pPr>
        <w:spacing w:after="120"/>
      </w:pPr>
    </w:p>
    <w:p>
      <w:pPr>
        <w:pStyle w:val="Heading2"/>
      </w:pPr>
      <w:r>
        <w:t xml:space="preserve">Value</w:t>
      </w:r>
    </w:p>
    <w:p>
      <w:pPr>
        <w:pStyle w:val="ListParagraph"/>
        <w:numPr>
          <w:ilvl w:val="0"/>
          <w:numId w:val="2"/>
        </w:numPr>
        <w:spacing w:after="80" w:line="290"/>
      </w:pPr>
      <w:r>
        <w:rPr>
          <w:b/>
          <w:bCs/>
        </w:rPr>
        <w:t xml:space="preserve">Safer orbit: </w:t>
      </w:r>
      <w:r>
        <w:t xml:space="preserve">operators can share precise data without exposing it, so assessments happen earlier and with better inputs.</w:t>
      </w:r>
    </w:p>
    <w:p>
      <w:pPr>
        <w:pStyle w:val="ListParagraph"/>
        <w:numPr>
          <w:ilvl w:val="0"/>
          <w:numId w:val="2"/>
        </w:numPr>
        <w:spacing w:after="80" w:line="290"/>
      </w:pPr>
      <w:r>
        <w:rPr>
          <w:b/>
          <w:bCs/>
        </w:rPr>
        <w:t xml:space="preserve">No honeypot: </w:t>
      </w:r>
      <w:r>
        <w:t xml:space="preserve">compromising the servers or the admin yields ciphertext only.</w:t>
      </w:r>
    </w:p>
    <w:p>
      <w:pPr>
        <w:pStyle w:val="ListParagraph"/>
        <w:numPr>
          <w:ilvl w:val="0"/>
          <w:numId w:val="2"/>
        </w:numPr>
        <w:spacing w:after="80" w:line="290"/>
      </w:pPr>
      <w:r>
        <w:rPr>
          <w:b/>
          <w:bCs/>
        </w:rPr>
        <w:t xml:space="preserve">Sovereignty preserved: </w:t>
      </w:r>
      <w:r>
        <w:t xml:space="preserve">a classified operator keeps a cryptographic veto over every use of its data.</w:t>
      </w:r>
    </w:p>
    <w:p>
      <w:pPr>
        <w:pStyle w:val="ListParagraph"/>
        <w:numPr>
          <w:ilvl w:val="0"/>
          <w:numId w:val="2"/>
        </w:numPr>
        <w:spacing w:after="80" w:line="290"/>
      </w:pPr>
      <w:r>
        <w:rPr>
          <w:b/>
          <w:bCs/>
        </w:rPr>
        <w:t xml:space="preserve">Auditable consent: </w:t>
      </w:r>
      <w:r>
        <w:t xml:space="preserve">every grant is a signed change request recording who approved and when.</w:t>
      </w:r>
    </w:p>
    <w:p>
      <w:pPr>
        <w:pStyle w:val="ListParagraph"/>
        <w:numPr>
          <w:ilvl w:val="0"/>
          <w:numId w:val="2"/>
        </w:numPr>
        <w:spacing w:after="80" w:line="290"/>
      </w:pPr>
      <w:r>
        <w:rPr>
          <w:b/>
          <w:bCs/>
        </w:rPr>
        <w:t xml:space="preserve">Reusable pattern: </w:t>
      </w:r>
      <w:r>
        <w:t xml:space="preserve">the same model fits shared threat intelligence, cross-agency investigations or joint medical research.</w:t>
      </w:r>
    </w:p>
    <w:p>
      <w:pPr>
        <w:pStyle w:val="Heading1"/>
      </w:pPr>
      <w:r>
        <w:t xml:space="preserve">3. How it works</w:t>
      </w:r>
    </w:p>
    <w:p>
      <w:pPr>
        <w:spacing w:after="140" w:line="300"/>
      </w:pPr>
      <w:r>
        <w:t xml:space="preserve">The demo scenario involves USA-326, a classified DoD satellite, and Starlink-4921, a commercial one. Radar predicts they will pass 2.4 km apart in about 18 hours. Neither operator can see the other’s orbit, and both need to before anyone burns fuel.</w:t>
      </w:r>
    </w:p>
    <w:p>
      <w:pPr>
        <w:pStyle w:val="ListParagraph"/>
        <w:numPr>
          <w:ilvl w:val="0"/>
          <w:numId w:val="3"/>
        </w:numPr>
        <w:spacing w:after="100" w:line="290"/>
      </w:pPr>
      <w:r>
        <w:rPr>
          <w:b/>
          <w:bCs/>
        </w:rPr>
        <w:t xml:space="preserve">Radar alert. </w:t>
      </w:r>
      <w:r>
        <w:t xml:space="preserve">A close approach is flagged. The console shows an orbit view with a 5 km warning bubble and a time-of-closest-approach countdown.</w:t>
      </w:r>
    </w:p>
    <w:p>
      <w:pPr>
        <w:pStyle w:val="ListParagraph"/>
        <w:numPr>
          <w:ilvl w:val="0"/>
          <w:numId w:val="3"/>
        </w:numPr>
        <w:spacing w:after="100" w:line="290"/>
      </w:pPr>
      <w:r>
        <w:rPr>
          <w:b/>
          <w:bCs/>
        </w:rPr>
        <w:t xml:space="preserve">Request. </w:t>
      </w:r>
      <w:r>
        <w:t xml:space="preserve">An operator requests a conjunction assessment. This files a TideCloak change request to grant the conjunction-assessor role. TideCloak answers HTTP 202: captured, waiting for quorum.</w:t>
      </w:r>
    </w:p>
    <w:p>
      <w:pPr>
        <w:pStyle w:val="ListParagraph"/>
        <w:numPr>
          <w:ilvl w:val="0"/>
          <w:numId w:val="3"/>
        </w:numPr>
        <w:spacing w:after="100" w:line="290"/>
      </w:pPr>
      <w:r>
        <w:rPr>
          <w:b/>
          <w:bCs/>
        </w:rPr>
        <w:t xml:space="preserve">Approvals. </w:t>
      </w:r>
      <w:r>
        <w:t xml:space="preserve">Each operator approves in their own Tide enclave through a pop-up. One approval is not enough.</w:t>
      </w:r>
    </w:p>
    <w:p>
      <w:pPr>
        <w:pStyle w:val="ListParagraph"/>
        <w:numPr>
          <w:ilvl w:val="0"/>
          <w:numId w:val="3"/>
        </w:numPr>
        <w:spacing w:after="100" w:line="290"/>
      </w:pPr>
      <w:r>
        <w:rPr>
          <w:b/>
          <w:bCs/>
        </w:rPr>
        <w:t xml:space="preserve">Authority emerges. </w:t>
      </w:r>
      <w:r>
        <w:t xml:space="preserve">Once the threshold is met, TideCloak commits the role. The authority to read both orbits did not exist a moment earlier.</w:t>
      </w:r>
    </w:p>
    <w:p>
      <w:pPr>
        <w:pStyle w:val="ListParagraph"/>
        <w:numPr>
          <w:ilvl w:val="0"/>
          <w:numId w:val="3"/>
        </w:numPr>
        <w:spacing w:after="100" w:line="290"/>
      </w:pPr>
      <w:r>
        <w:rPr>
          <w:b/>
          <w:bCs/>
        </w:rPr>
        <w:t xml:space="preserve">Assessment. </w:t>
      </w:r>
      <w:r>
        <w:t xml:space="preserve">The Tide ORK network allows decryption of both trajectories. The assessment runs in the acting operator’s browser, so plaintext exists only in that browser’s memory.</w:t>
      </w:r>
    </w:p>
    <w:p>
      <w:pPr>
        <w:pStyle w:val="ListParagraph"/>
        <w:numPr>
          <w:ilvl w:val="0"/>
          <w:numId w:val="3"/>
        </w:numPr>
        <w:spacing w:after="100" w:line="290"/>
      </w:pPr>
      <w:r>
        <w:rPr>
          <w:b/>
          <w:bCs/>
        </w:rPr>
        <w:t xml:space="preserve">Delivery. </w:t>
      </w:r>
      <w:r>
        <w:t xml:space="preserve">The manoeuvre, for example a +0.38 m/s prograde burn at T-6h giving a miss distance of 18.2 km, goes only to the operator who must burn.</w:t>
      </w:r>
    </w:p>
    <w:p>
      <w:pPr>
        <w:pStyle w:val="Heading1"/>
      </w:pPr>
      <w:r>
        <w:t xml:space="preserve">4. The role of TideCloak</w:t>
      </w:r>
    </w:p>
    <w:p>
      <w:pPr>
        <w:spacing w:after="140" w:line="300"/>
      </w:pPr>
      <w:r>
        <w:t xml:space="preserve">TideCloak is the trust layer. Every security decision in BlindOrbit is made by it, not by the application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Capability</w:t>
            </w:r>
          </w:p>
        </w:tc>
        <w:tc>
          <w:tcPr>
            <w:tcW w:type="dxa" w:w="6826"/>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How BlindOrbit uses it</w:t>
            </w:r>
          </w:p>
        </w:tc>
      </w:tr>
      <w:tr>
        <w:tc>
          <w:tcPr>
            <w:tcW w:type="dxa" w:w="22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Identity</w:t>
            </w:r>
          </w:p>
        </w:tc>
        <w:tc>
          <w:tcPr>
            <w:tcW w:type="dxa" w:w="68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Users sign in with Tide threshold login, so passwords never exist in one place. Tokens are bound to the user’s device (DPoP). The API verifies the JWT signature, the issuer and the DPoP proof on every route.</w:t>
            </w:r>
          </w:p>
        </w:tc>
      </w:tr>
      <w:tr>
        <w:tc>
          <w:tcPr>
            <w:tcW w:type="dxa" w:w="22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Data protection</w:t>
            </w:r>
          </w:p>
        </w:tc>
        <w:tc>
          <w:tcPr>
            <w:tcW w:type="dxa" w:w="68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Trajectories are encrypted by Tide’s decentralised ORK network under per-record policies (RelationshipAttestation:1). On every decryption the network checks that the caller holds the role the policy names.</w:t>
            </w:r>
          </w:p>
        </w:tc>
      </w:tr>
      <w:tr>
        <w:tc>
          <w:tcPr>
            <w:tcW w:type="dxa" w:w="22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Emergent authority</w:t>
            </w:r>
          </w:p>
        </w:tc>
        <w:tc>
          <w:tcPr>
            <w:tcW w:type="dxa" w:w="68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The role that unlocks both trajectories can only be granted through TideCloak identity governance (IGA). The grant is a change request that a threshold of administrators must approve, each signing in their own Tide enclave.</w:t>
            </w:r>
          </w:p>
        </w:tc>
      </w:tr>
      <w:tr>
        <w:tc>
          <w:tcPr>
            <w:tcW w:type="dxa" w:w="22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Zero master keys</w:t>
            </w:r>
          </w:p>
        </w:tc>
        <w:tc>
          <w:tcPr>
            <w:tcW w:type="dxa" w:w="68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Keys are split across independent ORK nodes. No administrator, server or Tide node ever holds a whole key.</w:t>
            </w:r>
          </w:p>
        </w:tc>
      </w:tr>
    </w:tbl>
    <w:p>
      <w:pPr>
        <w:spacing w:after="120"/>
      </w:pPr>
    </w:p>
    <w:p>
      <w:pPr>
        <w:pStyle w:val="Heading1"/>
      </w:pPr>
      <w:r>
        <w:t xml:space="preserve">5. Roles and users</w:t>
      </w:r>
    </w:p>
    <w:p>
      <w:pPr>
        <w:spacing w:after="140" w:line="300"/>
      </w:pPr>
      <w:r>
        <w:t xml:space="preserve">The prototype uses three real users, each with a TideCloak realm role that travels in the signed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User</w:t>
            </w:r>
          </w:p>
        </w:tc>
        <w:tc>
          <w:tcPr>
            <w:tcW w:type="dxa" w:w="2400"/>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Realm role</w:t>
            </w:r>
          </w:p>
        </w:tc>
        <w:tc>
          <w:tcPr>
            <w:tcW w:type="dxa" w:w="4026"/>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Purpose in the demo</w:t>
            </w:r>
          </w:p>
        </w:tc>
      </w:tr>
      <w:t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dod-operator</w:t>
            </w:r>
          </w:p>
        </w:tc>
        <w:tc>
          <w:tcPr>
            <w:tcW w:type="dxa" w:w="2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dod-operator</w:t>
            </w:r>
          </w:p>
        </w:tc>
        <w:tc>
          <w:tcPr>
            <w:tcW w:type="dxa" w:w="40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Owns the classified trajectory. First approver of the grant.</w:t>
            </w:r>
          </w:p>
        </w:tc>
      </w:tr>
      <w:tr>
        <w:tc>
          <w:tcPr>
            <w:tcW w:type="dxa" w:w="26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commercial-operator</w:t>
            </w:r>
          </w:p>
        </w:tc>
        <w:tc>
          <w:tcPr>
            <w:tcW w:type="dxa" w:w="24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commercial-operator</w:t>
            </w:r>
          </w:p>
        </w:tc>
        <w:tc>
          <w:tcPr>
            <w:tcW w:type="dxa" w:w="40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Owns the commercial trajectory. Receives the manoeuvre and must burn.</w:t>
            </w:r>
          </w:p>
        </w:tc>
      </w:tr>
      <w:tr>
        <w:tc>
          <w:tcPr>
            <w:tcW w:type="dxa" w:w="26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platform-admin</w:t>
            </w:r>
          </w:p>
        </w:tc>
        <w:tc>
          <w:tcPr>
            <w:tcW w:type="dxa" w:w="24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platform-admin</w:t>
            </w:r>
          </w:p>
        </w:tc>
        <w:tc>
          <w:tcPr>
            <w:tcW w:type="dxa" w:w="40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Runs the platform. Demonstrates that even a full admin is refused.</w:t>
            </w:r>
          </w:p>
        </w:tc>
      </w:tr>
    </w:tbl>
    <w:p>
      <w:pPr>
        <w:spacing w:after="140" w:before="140"/>
      </w:pPr>
      <w:r>
        <w:t xml:space="preserve">The fourth role, </w:t>
      </w:r>
      <w:r>
        <w:rPr>
          <w:b/>
          <w:bCs/>
        </w:rPr>
        <w:t xml:space="preserve">conjunction-assessor</w:t>
      </w:r>
      <w:r>
        <w:t xml:space="preserve">, is not assigned to anyone by default. It only comes into existence through the quorum-approved change request.</w:t>
      </w:r>
    </w:p>
    <w:p>
      <w:pPr>
        <w:pStyle w:val="Heading1"/>
      </w:pPr>
      <w:r>
        <w:t xml:space="preserve">6. What is real and what is simulated</w:t>
      </w:r>
    </w:p>
    <w:p>
      <w:pPr>
        <w:spacing w:after="140" w:line="300"/>
      </w:pPr>
      <w:r>
        <w:t xml:space="preserve">The prototype is explicit about its scope. Satellites, radar and manoeuvre maths are simulated. Every security decision is a real TideCloak operation. In the UI, green badges mark real TideCloak calls and violet badges mark simulated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426"/>
      </w:tblGrid>
      <w:tr>
        <w:trPr>
          <w:tblHeader/>
        </w:trPr>
        <w:tc>
          <w:tcPr>
            <w:tcW w:type="dxa" w:w="3300"/>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Component</w:t>
            </w:r>
          </w:p>
        </w:tc>
        <w:tc>
          <w:tcPr>
            <w:tcW w:type="dxa" w:w="1300"/>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Status</w:t>
            </w:r>
          </w:p>
        </w:tc>
        <w:tc>
          <w:tcPr>
            <w:tcW w:type="dxa" w:w="4426"/>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Detail</w:t>
            </w:r>
          </w:p>
        </w:tc>
      </w:tr>
      <w:tr>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Login (3 users)</w:t>
            </w:r>
          </w:p>
        </w:tc>
        <w:tc>
          <w:tcPr>
            <w:tcW w:type="dxa" w:w="1300"/>
            <w:tcBorders>
              <w:top w:val="single" w:color="C9D3E3" w:sz="4"/>
              <w:left w:val="single" w:color="C9D3E3" w:sz="4"/>
              <w:bottom w:val="single" w:color="C9D3E3" w:sz="4"/>
              <w:right w:val="single" w:color="C9D3E3" w:sz="4"/>
            </w:tcBorders>
            <w:shd w:fill="DDF3E4" w:color="auto" w:val="clear"/>
            <w:tcMar>
              <w:top w:type="dxa" w:w="80"/>
              <w:left w:type="dxa" w:w="120"/>
              <w:bottom w:type="dxa" w:w="80"/>
              <w:right w:type="dxa" w:w="120"/>
            </w:tcMar>
          </w:tcPr>
          <w:p>
            <w:pPr>
              <w:spacing w:after="0"/>
            </w:pPr>
            <w:r>
              <w:rPr>
                <w:b w:val="false"/>
                <w:bCs w:val="false"/>
                <w:color w:val="1F2933"/>
                <w:sz w:val="20"/>
                <w:szCs w:val="20"/>
              </w:rPr>
              <w:t xml:space="preserve">Real</w:t>
            </w:r>
          </w:p>
        </w:tc>
        <w:tc>
          <w:tcPr>
            <w:tcW w:type="dxa" w:w="44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Tide threshold login via TideCloak, DPoP-bound tokens</w:t>
            </w:r>
          </w:p>
        </w:tc>
      </w:tr>
      <w:tr>
        <w:tc>
          <w:tcPr>
            <w:tcW w:type="dxa" w:w="33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Roles</w:t>
            </w:r>
          </w:p>
        </w:tc>
        <w:tc>
          <w:tcPr>
            <w:tcW w:type="dxa" w:w="1300"/>
            <w:tcBorders>
              <w:top w:val="single" w:color="C9D3E3" w:sz="4"/>
              <w:left w:val="single" w:color="C9D3E3" w:sz="4"/>
              <w:bottom w:val="single" w:color="C9D3E3" w:sz="4"/>
              <w:right w:val="single" w:color="C9D3E3" w:sz="4"/>
            </w:tcBorders>
            <w:shd w:fill="DDF3E4" w:color="auto" w:val="clear"/>
            <w:tcMar>
              <w:top w:type="dxa" w:w="80"/>
              <w:left w:type="dxa" w:w="120"/>
              <w:bottom w:type="dxa" w:w="80"/>
              <w:right w:type="dxa" w:w="120"/>
            </w:tcMar>
          </w:tcPr>
          <w:p>
            <w:pPr>
              <w:spacing w:after="0"/>
            </w:pPr>
            <w:r>
              <w:rPr>
                <w:b w:val="false"/>
                <w:bCs w:val="false"/>
                <w:color w:val="1F2933"/>
                <w:sz w:val="20"/>
                <w:szCs w:val="20"/>
              </w:rPr>
              <w:t xml:space="preserve">Real</w:t>
            </w:r>
          </w:p>
        </w:tc>
        <w:tc>
          <w:tcPr>
            <w:tcW w:type="dxa" w:w="44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TideCloak realm roles carried in the signed token</w:t>
            </w:r>
          </w:p>
        </w:tc>
      </w:tr>
      <w:tr>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API protection</w:t>
            </w:r>
          </w:p>
        </w:tc>
        <w:tc>
          <w:tcPr>
            <w:tcW w:type="dxa" w:w="1300"/>
            <w:tcBorders>
              <w:top w:val="single" w:color="C9D3E3" w:sz="4"/>
              <w:left w:val="single" w:color="C9D3E3" w:sz="4"/>
              <w:bottom w:val="single" w:color="C9D3E3" w:sz="4"/>
              <w:right w:val="single" w:color="C9D3E3" w:sz="4"/>
            </w:tcBorders>
            <w:shd w:fill="DDF3E4" w:color="auto" w:val="clear"/>
            <w:tcMar>
              <w:top w:type="dxa" w:w="80"/>
              <w:left w:type="dxa" w:w="120"/>
              <w:bottom w:type="dxa" w:w="80"/>
              <w:right w:type="dxa" w:w="120"/>
            </w:tcMar>
          </w:tcPr>
          <w:p>
            <w:pPr>
              <w:spacing w:after="0"/>
            </w:pPr>
            <w:r>
              <w:rPr>
                <w:b w:val="false"/>
                <w:bCs w:val="false"/>
                <w:color w:val="1F2933"/>
                <w:sz w:val="20"/>
                <w:szCs w:val="20"/>
              </w:rPr>
              <w:t xml:space="preserve">Real</w:t>
            </w:r>
          </w:p>
        </w:tc>
        <w:tc>
          <w:tcPr>
            <w:tcW w:type="dxa" w:w="44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JWT signature, issuer and DPoP proof checked on every route</w:t>
            </w:r>
          </w:p>
        </w:tc>
      </w:tr>
      <w:tr>
        <w:tc>
          <w:tcPr>
            <w:tcW w:type="dxa" w:w="33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Trajectory encryption and decryption</w:t>
            </w:r>
          </w:p>
        </w:tc>
        <w:tc>
          <w:tcPr>
            <w:tcW w:type="dxa" w:w="1300"/>
            <w:tcBorders>
              <w:top w:val="single" w:color="C9D3E3" w:sz="4"/>
              <w:left w:val="single" w:color="C9D3E3" w:sz="4"/>
              <w:bottom w:val="single" w:color="C9D3E3" w:sz="4"/>
              <w:right w:val="single" w:color="C9D3E3" w:sz="4"/>
            </w:tcBorders>
            <w:shd w:fill="DDF3E4" w:color="auto" w:val="clear"/>
            <w:tcMar>
              <w:top w:type="dxa" w:w="80"/>
              <w:left w:type="dxa" w:w="120"/>
              <w:bottom w:type="dxa" w:w="80"/>
              <w:right w:type="dxa" w:w="120"/>
            </w:tcMar>
          </w:tcPr>
          <w:p>
            <w:pPr>
              <w:spacing w:after="0"/>
            </w:pPr>
            <w:r>
              <w:rPr>
                <w:b w:val="false"/>
                <w:bCs w:val="false"/>
                <w:color w:val="1F2933"/>
                <w:sz w:val="20"/>
                <w:szCs w:val="20"/>
              </w:rPr>
              <w:t xml:space="preserve">Real</w:t>
            </w:r>
          </w:p>
        </w:tc>
        <w:tc>
          <w:tcPr>
            <w:tcW w:type="dxa" w:w="44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Tide ORK network, one policy per record and subject</w:t>
            </w:r>
          </w:p>
        </w:tc>
      </w:tr>
      <w:tr>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Platform admin read refused</w:t>
            </w:r>
          </w:p>
        </w:tc>
        <w:tc>
          <w:tcPr>
            <w:tcW w:type="dxa" w:w="1300"/>
            <w:tcBorders>
              <w:top w:val="single" w:color="C9D3E3" w:sz="4"/>
              <w:left w:val="single" w:color="C9D3E3" w:sz="4"/>
              <w:bottom w:val="single" w:color="C9D3E3" w:sz="4"/>
              <w:right w:val="single" w:color="C9D3E3" w:sz="4"/>
            </w:tcBorders>
            <w:shd w:fill="DDF3E4" w:color="auto" w:val="clear"/>
            <w:tcMar>
              <w:top w:type="dxa" w:w="80"/>
              <w:left w:type="dxa" w:w="120"/>
              <w:bottom w:type="dxa" w:w="80"/>
              <w:right w:type="dxa" w:w="120"/>
            </w:tcMar>
          </w:tcPr>
          <w:p>
            <w:pPr>
              <w:spacing w:after="0"/>
            </w:pPr>
            <w:r>
              <w:rPr>
                <w:b w:val="false"/>
                <w:bCs w:val="false"/>
                <w:color w:val="1F2933"/>
                <w:sz w:val="20"/>
                <w:szCs w:val="20"/>
              </w:rPr>
              <w:t xml:space="preserve">Real</w:t>
            </w:r>
          </w:p>
        </w:tc>
        <w:tc>
          <w:tcPr>
            <w:tcW w:type="dxa" w:w="44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The ORKs refuse the decryption</w:t>
            </w:r>
          </w:p>
        </w:tc>
      </w:tr>
      <w:tr>
        <w:tc>
          <w:tcPr>
            <w:tcW w:type="dxa" w:w="33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Quorum approval</w:t>
            </w:r>
          </w:p>
        </w:tc>
        <w:tc>
          <w:tcPr>
            <w:tcW w:type="dxa" w:w="1300"/>
            <w:tcBorders>
              <w:top w:val="single" w:color="C9D3E3" w:sz="4"/>
              <w:left w:val="single" w:color="C9D3E3" w:sz="4"/>
              <w:bottom w:val="single" w:color="C9D3E3" w:sz="4"/>
              <w:right w:val="single" w:color="C9D3E3" w:sz="4"/>
            </w:tcBorders>
            <w:shd w:fill="DDF3E4" w:color="auto" w:val="clear"/>
            <w:tcMar>
              <w:top w:type="dxa" w:w="80"/>
              <w:left w:type="dxa" w:w="120"/>
              <w:bottom w:type="dxa" w:w="80"/>
              <w:right w:type="dxa" w:w="120"/>
            </w:tcMar>
          </w:tcPr>
          <w:p>
            <w:pPr>
              <w:spacing w:after="0"/>
            </w:pPr>
            <w:r>
              <w:rPr>
                <w:b w:val="false"/>
                <w:bCs w:val="false"/>
                <w:color w:val="1F2933"/>
                <w:sz w:val="20"/>
                <w:szCs w:val="20"/>
              </w:rPr>
              <w:t xml:space="preserve">Real</w:t>
            </w:r>
          </w:p>
        </w:tc>
        <w:tc>
          <w:tcPr>
            <w:tcW w:type="dxa" w:w="44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IGA change request approved in the Tide enclave</w:t>
            </w:r>
          </w:p>
        </w:tc>
      </w:tr>
      <w:tr>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One operator alone refused</w:t>
            </w:r>
          </w:p>
        </w:tc>
        <w:tc>
          <w:tcPr>
            <w:tcW w:type="dxa" w:w="1300"/>
            <w:tcBorders>
              <w:top w:val="single" w:color="C9D3E3" w:sz="4"/>
              <w:left w:val="single" w:color="C9D3E3" w:sz="4"/>
              <w:bottom w:val="single" w:color="C9D3E3" w:sz="4"/>
              <w:right w:val="single" w:color="C9D3E3" w:sz="4"/>
            </w:tcBorders>
            <w:shd w:fill="DDF3E4" w:color="auto" w:val="clear"/>
            <w:tcMar>
              <w:top w:type="dxa" w:w="80"/>
              <w:left w:type="dxa" w:w="120"/>
              <w:bottom w:type="dxa" w:w="80"/>
              <w:right w:type="dxa" w:w="120"/>
            </w:tcMar>
          </w:tcPr>
          <w:p>
            <w:pPr>
              <w:spacing w:after="0"/>
            </w:pPr>
            <w:r>
              <w:rPr>
                <w:b w:val="false"/>
                <w:bCs w:val="false"/>
                <w:color w:val="1F2933"/>
                <w:sz w:val="20"/>
                <w:szCs w:val="20"/>
              </w:rPr>
              <w:t xml:space="preserve">Real</w:t>
            </w:r>
          </w:p>
        </w:tc>
        <w:tc>
          <w:tcPr>
            <w:tcW w:type="dxa" w:w="44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Below threshold the role is not granted</w:t>
            </w:r>
          </w:p>
        </w:tc>
      </w:tr>
      <w:tr>
        <w:tc>
          <w:tcPr>
            <w:tcW w:type="dxa" w:w="33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Trajectory contents</w:t>
            </w:r>
          </w:p>
        </w:tc>
        <w:tc>
          <w:tcPr>
            <w:tcW w:type="dxa" w:w="1300"/>
            <w:tcBorders>
              <w:top w:val="single" w:color="C9D3E3" w:sz="4"/>
              <w:left w:val="single" w:color="C9D3E3" w:sz="4"/>
              <w:bottom w:val="single" w:color="C9D3E3" w:sz="4"/>
              <w:right w:val="single" w:color="C9D3E3" w:sz="4"/>
            </w:tcBorders>
            <w:shd w:fill="EADFF7" w:color="auto" w:val="clear"/>
            <w:tcMar>
              <w:top w:type="dxa" w:w="80"/>
              <w:left w:type="dxa" w:w="120"/>
              <w:bottom w:type="dxa" w:w="80"/>
              <w:right w:type="dxa" w:w="120"/>
            </w:tcMar>
          </w:tcPr>
          <w:p>
            <w:pPr>
              <w:spacing w:after="0"/>
            </w:pPr>
            <w:r>
              <w:rPr>
                <w:b w:val="false"/>
                <w:bCs w:val="false"/>
                <w:color w:val="1F2933"/>
                <w:sz w:val="20"/>
                <w:szCs w:val="20"/>
              </w:rPr>
              <w:t xml:space="preserve">Simulated</w:t>
            </w:r>
          </w:p>
        </w:tc>
        <w:tc>
          <w:tcPr>
            <w:tcW w:type="dxa" w:w="44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Synthetic state vectors in src/lib/blindorbit.ts</w:t>
            </w:r>
          </w:p>
        </w:tc>
      </w:tr>
      <w:tr>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Radar alert, miss distance, countdown</w:t>
            </w:r>
          </w:p>
        </w:tc>
        <w:tc>
          <w:tcPr>
            <w:tcW w:type="dxa" w:w="1300"/>
            <w:tcBorders>
              <w:top w:val="single" w:color="C9D3E3" w:sz="4"/>
              <w:left w:val="single" w:color="C9D3E3" w:sz="4"/>
              <w:bottom w:val="single" w:color="C9D3E3" w:sz="4"/>
              <w:right w:val="single" w:color="C9D3E3" w:sz="4"/>
            </w:tcBorders>
            <w:shd w:fill="EADFF7" w:color="auto" w:val="clear"/>
            <w:tcMar>
              <w:top w:type="dxa" w:w="80"/>
              <w:left w:type="dxa" w:w="120"/>
              <w:bottom w:type="dxa" w:w="80"/>
              <w:right w:type="dxa" w:w="120"/>
            </w:tcMar>
          </w:tcPr>
          <w:p>
            <w:pPr>
              <w:spacing w:after="0"/>
            </w:pPr>
            <w:r>
              <w:rPr>
                <w:b w:val="false"/>
                <w:bCs w:val="false"/>
                <w:color w:val="1F2933"/>
                <w:sz w:val="20"/>
                <w:szCs w:val="20"/>
              </w:rPr>
              <w:t xml:space="preserve">Simulated</w:t>
            </w:r>
          </w:p>
        </w:tc>
        <w:tc>
          <w:tcPr>
            <w:tcW w:type="dxa" w:w="44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Hard-coded</w:t>
            </w:r>
          </w:p>
        </w:tc>
      </w:tr>
      <w:tr>
        <w:tc>
          <w:tcPr>
            <w:tcW w:type="dxa" w:w="33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Orbit view</w:t>
            </w:r>
          </w:p>
        </w:tc>
        <w:tc>
          <w:tcPr>
            <w:tcW w:type="dxa" w:w="1300"/>
            <w:tcBorders>
              <w:top w:val="single" w:color="C9D3E3" w:sz="4"/>
              <w:left w:val="single" w:color="C9D3E3" w:sz="4"/>
              <w:bottom w:val="single" w:color="C9D3E3" w:sz="4"/>
              <w:right w:val="single" w:color="C9D3E3" w:sz="4"/>
            </w:tcBorders>
            <w:shd w:fill="EADFF7" w:color="auto" w:val="clear"/>
            <w:tcMar>
              <w:top w:type="dxa" w:w="80"/>
              <w:left w:type="dxa" w:w="120"/>
              <w:bottom w:type="dxa" w:w="80"/>
              <w:right w:type="dxa" w:w="120"/>
            </w:tcMar>
          </w:tcPr>
          <w:p>
            <w:pPr>
              <w:spacing w:after="0"/>
            </w:pPr>
            <w:r>
              <w:rPr>
                <w:b w:val="false"/>
                <w:bCs w:val="false"/>
                <w:color w:val="1F2933"/>
                <w:sz w:val="20"/>
                <w:szCs w:val="20"/>
              </w:rPr>
              <w:t xml:space="preserve">Simulated</w:t>
            </w:r>
          </w:p>
        </w:tc>
        <w:tc>
          <w:tcPr>
            <w:tcW w:type="dxa" w:w="44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2D canvas drawing</w:t>
            </w:r>
          </w:p>
        </w:tc>
      </w:tr>
      <w:tr>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Manoeuvre calculation</w:t>
            </w:r>
          </w:p>
        </w:tc>
        <w:tc>
          <w:tcPr>
            <w:tcW w:type="dxa" w:w="1300"/>
            <w:tcBorders>
              <w:top w:val="single" w:color="C9D3E3" w:sz="4"/>
              <w:left w:val="single" w:color="C9D3E3" w:sz="4"/>
              <w:bottom w:val="single" w:color="C9D3E3" w:sz="4"/>
              <w:right w:val="single" w:color="C9D3E3" w:sz="4"/>
            </w:tcBorders>
            <w:shd w:fill="EADFF7" w:color="auto" w:val="clear"/>
            <w:tcMar>
              <w:top w:type="dxa" w:w="80"/>
              <w:left w:type="dxa" w:w="120"/>
              <w:bottom w:type="dxa" w:w="80"/>
              <w:right w:type="dxa" w:w="120"/>
            </w:tcMar>
          </w:tcPr>
          <w:p>
            <w:pPr>
              <w:spacing w:after="0"/>
            </w:pPr>
            <w:r>
              <w:rPr>
                <w:b w:val="false"/>
                <w:bCs w:val="false"/>
                <w:color w:val="1F2933"/>
                <w:sz w:val="20"/>
                <w:szCs w:val="20"/>
              </w:rPr>
              <w:t xml:space="preserve">Simulated</w:t>
            </w:r>
          </w:p>
        </w:tc>
        <w:tc>
          <w:tcPr>
            <w:tcW w:type="dxa" w:w="44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Fixed result string</w:t>
            </w:r>
          </w:p>
        </w:tc>
      </w:tr>
    </w:tbl>
    <w:p>
      <w:pPr>
        <w:spacing w:after="120"/>
      </w:pPr>
    </w:p>
    <w:p>
      <w:pPr>
        <w:pStyle w:val="Heading1"/>
      </w:pPr>
      <w:r>
        <w:t xml:space="preserve">7. Architecture and tech stack</w:t>
      </w:r>
    </w:p>
    <w:p>
      <w:pPr>
        <w:spacing w:after="140" w:line="300"/>
      </w:pPr>
      <w:r>
        <w:t xml:space="preserve">BlindOrbit is a single-page React app talking to a small Express API, with a local TideCloak instance (running in Docker) acting as the identity and encryption authority.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Layer</w:t>
            </w:r>
          </w:p>
        </w:tc>
        <w:tc>
          <w:tcPr>
            <w:tcW w:type="dxa" w:w="6826"/>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Technology</w:t>
            </w:r>
          </w:p>
        </w:tc>
      </w:tr>
      <w:tr>
        <w:tc>
          <w:tcPr>
            <w:tcW w:type="dxa" w:w="22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Frontend</w:t>
            </w:r>
          </w:p>
        </w:tc>
        <w:tc>
          <w:tcPr>
            <w:tcW w:type="dxa" w:w="68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React 19, Vite 6, Tailwind CSS 4, TypeScript. Dark mission-control console on port 5173.</w:t>
            </w:r>
          </w:p>
        </w:tc>
      </w:tr>
      <w:tr>
        <w:tc>
          <w:tcPr>
            <w:tcW w:type="dxa" w:w="22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Backend</w:t>
            </w:r>
          </w:p>
        </w:tc>
        <w:tc>
          <w:tcPr>
            <w:tcW w:type="dxa" w:w="68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Express 4 run with tsx on port 4000. Uses jose to verify JWTs and DPoP proofs.</w:t>
            </w:r>
          </w:p>
        </w:tc>
      </w:tr>
      <w:tr>
        <w:tc>
          <w:tcPr>
            <w:tcW w:type="dxa" w:w="22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Trust layer</w:t>
            </w:r>
          </w:p>
        </w:tc>
        <w:tc>
          <w:tcPr>
            <w:tcW w:type="dxa" w:w="68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TideCloak (tideorg/tidecloak-dev) on port 8080, plus the @tidecloak/js, @tidecloak/react, @tideorg/js and heimdall-tide libraries.</w:t>
            </w:r>
          </w:p>
        </w:tc>
      </w:tr>
      <w:tr>
        <w:tc>
          <w:tcPr>
            <w:tcW w:type="dxa" w:w="22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Tooling</w:t>
            </w:r>
          </w:p>
        </w:tc>
        <w:tc>
          <w:tcPr>
            <w:tcW w:type="dxa" w:w="68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concurrently for running web and API together, Node scripts for bootstrap, invite links and packaging.</w:t>
            </w:r>
          </w:p>
        </w:tc>
      </w:tr>
    </w:tbl>
    <w:p>
      <w:pPr>
        <w:spacing w:after="120"/>
      </w:pPr>
    </w:p>
    <w:p>
      <w:pPr>
        <w:pStyle w:val="Heading2"/>
      </w:pPr>
      <w:r>
        <w:t xml:space="preserve">Repository layout</w:t>
      </w:r>
    </w:p>
    <w:p>
      <w:pPr>
        <w:pStyle w:val="ListParagraph"/>
        <w:numPr>
          <w:ilvl w:val="0"/>
          <w:numId w:val="2"/>
        </w:numPr>
        <w:spacing w:after="80" w:line="290"/>
      </w:pPr>
      <w:r>
        <w:rPr>
          <w:b/>
          <w:bCs/>
        </w:rPr>
        <w:t xml:space="preserve">public/</w:t>
      </w:r>
      <w:r>
        <w:t xml:space="preserve"> static assets and the generated tidecloak.json</w:t>
      </w:r>
    </w:p>
    <w:p>
      <w:pPr>
        <w:pStyle w:val="ListParagraph"/>
        <w:numPr>
          <w:ilvl w:val="0"/>
          <w:numId w:val="2"/>
        </w:numPr>
        <w:spacing w:after="80" w:line="290"/>
      </w:pPr>
      <w:r>
        <w:rPr>
          <w:b/>
          <w:bCs/>
        </w:rPr>
        <w:t xml:space="preserve">scripts/</w:t>
      </w:r>
      <w:r>
        <w:t xml:space="preserve"> bootstrap.mjs, invite-links.mjs and make-zip.mjs</w:t>
      </w:r>
    </w:p>
    <w:p>
      <w:pPr>
        <w:pStyle w:val="ListParagraph"/>
        <w:numPr>
          <w:ilvl w:val="0"/>
          <w:numId w:val="2"/>
        </w:numPr>
        <w:spacing w:after="80" w:line="290"/>
      </w:pPr>
      <w:r>
        <w:rPr>
          <w:b/>
          <w:bCs/>
        </w:rPr>
        <w:t xml:space="preserve">server/</w:t>
      </w:r>
      <w:r>
        <w:t xml:space="preserve"> Express API and local db.json</w:t>
      </w:r>
    </w:p>
    <w:p>
      <w:pPr>
        <w:pStyle w:val="ListParagraph"/>
        <w:numPr>
          <w:ilvl w:val="0"/>
          <w:numId w:val="2"/>
        </w:numPr>
        <w:spacing w:after="80" w:line="290"/>
      </w:pPr>
      <w:r>
        <w:rPr>
          <w:b/>
          <w:bCs/>
        </w:rPr>
        <w:t xml:space="preserve">src/</w:t>
      </w:r>
      <w:r>
        <w:t xml:space="preserve"> React app, with simulated data in src/lib/blindorbit.ts</w:t>
      </w:r>
    </w:p>
    <w:p>
      <w:pPr>
        <w:pStyle w:val="ListParagraph"/>
        <w:numPr>
          <w:ilvl w:val="0"/>
          <w:numId w:val="2"/>
        </w:numPr>
        <w:spacing w:after="80" w:line="290"/>
      </w:pPr>
      <w:r>
        <w:rPr>
          <w:b/>
          <w:bCs/>
        </w:rPr>
        <w:t xml:space="preserve">DEMO_SCRIPT.md, summary.md, README.md</w:t>
      </w:r>
      <w:r>
        <w:t xml:space="preserve"> documentation</w:t>
      </w:r>
    </w:p>
    <w:p>
      <w:pPr>
        <w:pStyle w:val="Heading1"/>
      </w:pPr>
      <w:r>
        <w:t xml:space="preserve">8. Running it</w:t>
      </w:r>
    </w:p>
    <w:p>
      <w:pPr>
        <w:pStyle w:val="Heading2"/>
      </w:pPr>
      <w:r>
        <w:t xml:space="preserve">Prerequisites</w:t>
      </w:r>
    </w:p>
    <w:p>
      <w:pPr>
        <w:pStyle w:val="ListParagraph"/>
        <w:numPr>
          <w:ilvl w:val="0"/>
          <w:numId w:val="2"/>
        </w:numPr>
        <w:spacing w:after="80" w:line="290"/>
      </w:pPr>
      <w:r>
        <w:t xml:space="preserve">Docker Desktop, running</w:t>
      </w:r>
    </w:p>
    <w:p>
      <w:pPr>
        <w:pStyle w:val="ListParagraph"/>
        <w:numPr>
          <w:ilvl w:val="0"/>
          <w:numId w:val="2"/>
        </w:numPr>
        <w:spacing w:after="80" w:line="290"/>
      </w:pPr>
      <w:r>
        <w:t xml:space="preserve">Node.js 20 or newer, and Git</w:t>
      </w:r>
    </w:p>
    <w:p>
      <w:pPr>
        <w:pStyle w:val="ListParagraph"/>
        <w:numPr>
          <w:ilvl w:val="0"/>
          <w:numId w:val="2"/>
        </w:numPr>
        <w:spacing w:after="80" w:line="290"/>
      </w:pPr>
      <w:r>
        <w:t xml:space="preserve">Google Chrome. Firefox-based browsers block the Tide sign-up callback.</w:t>
      </w:r>
    </w:p>
    <w:p>
      <w:pPr>
        <w:pStyle w:val="ListParagraph"/>
        <w:numPr>
          <w:ilvl w:val="0"/>
          <w:numId w:val="2"/>
        </w:numPr>
        <w:spacing w:after="80" w:line="290"/>
      </w:pPr>
      <w:r>
        <w:t xml:space="preserve">A network that reaches ork1.tideprotocol.com with its real certificate. Corporate or campus TLS-inspecting firewalls break Tide; a phone hotspot works.</w:t>
      </w:r>
    </w:p>
    <w:p>
      <w:pPr>
        <w:pStyle w:val="Heading2"/>
      </w:pPr>
      <w:r>
        <w:t xml:space="preserve">Setup in brief</w:t>
      </w:r>
    </w:p>
    <w:p>
      <w:pPr>
        <w:pStyle w:val="ListParagraph"/>
        <w:numPr>
          <w:ilvl w:val="0"/>
          <w:numId w:val="4"/>
        </w:numPr>
        <w:spacing w:after="100" w:line="290"/>
      </w:pPr>
      <w:r>
        <w:t xml:space="preserve">Clone the repository and run npm install.</w:t>
      </w:r>
    </w:p>
    <w:p>
      <w:pPr>
        <w:pStyle w:val="ListParagraph"/>
        <w:numPr>
          <w:ilvl w:val="0"/>
          <w:numId w:val="4"/>
        </w:numPr>
        <w:spacing w:after="100" w:line="290"/>
      </w:pPr>
      <w:r>
        <w:t xml:space="preserve">Copy .env.example to .env and set KC_BOOTSTRAP_ADMIN_PASSWORD, TIDE_LICENSE_EMAIL and TIDE_TERMS_ACCEPTED=yes.</w:t>
      </w:r>
    </w:p>
    <w:p>
      <w:pPr>
        <w:pStyle w:val="ListParagraph"/>
        <w:numPr>
          <w:ilvl w:val="0"/>
          <w:numId w:val="4"/>
        </w:numPr>
        <w:spacing w:after="100" w:line="290"/>
      </w:pPr>
      <w:r>
        <w:t xml:space="preserve">Run npm run bootstrap. It starts TideCloak, creates and licenses the blindorbit realm, enables IGA, creates the three users and prints three invite links. Open each in a separate Chrome incognito window and create a new Tide account.</w:t>
      </w:r>
    </w:p>
    <w:p>
      <w:pPr>
        <w:pStyle w:val="ListParagraph"/>
        <w:numPr>
          <w:ilvl w:val="0"/>
          <w:numId w:val="4"/>
        </w:numPr>
        <w:spacing w:after="100" w:line="290"/>
      </w:pPr>
      <w:r>
        <w:t xml:space="preserve">Run npm run dev, then open http://localhost:5173 and allow pop-ups.</w:t>
      </w:r>
    </w:p>
    <w:p>
      <w:pPr>
        <w:pStyle w:val="ListParagraph"/>
        <w:numPr>
          <w:ilvl w:val="0"/>
          <w:numId w:val="4"/>
        </w:numPr>
        <w:spacing w:after="100" w:line="290"/>
      </w:pPr>
      <w:r>
        <w:t xml:space="preserve">One-time in-app setup: the DoD operator signs the four record policies and encrypts their trajectory, the commercial operator encrypts theirs, then commercial-operator and platform-admin are each given the tide-realm-admin role in the TideCloak console so that three approvers exist.</w:t>
      </w:r>
    </w:p>
    <w:p>
      <w:pPr>
        <w:pStyle w:val="Heading1"/>
      </w:pPr>
      <w:r>
        <w:t xml:space="preserve">9. The two-minute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126"/>
      </w:tblGrid>
      <w:tr>
        <w:trPr>
          <w:tblHeader/>
        </w:trPr>
        <w:tc>
          <w:tcPr>
            <w:tcW w:type="dxa" w:w="1000"/>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Time</w:t>
            </w:r>
          </w:p>
        </w:tc>
        <w:tc>
          <w:tcPr>
            <w:tcW w:type="dxa" w:w="1900"/>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Who</w:t>
            </w:r>
          </w:p>
        </w:tc>
        <w:tc>
          <w:tcPr>
            <w:tcW w:type="dxa" w:w="6126"/>
            <w:tcBorders>
              <w:top w:val="single" w:color="C9D3E3" w:sz="4"/>
              <w:left w:val="single" w:color="C9D3E3" w:sz="4"/>
              <w:bottom w:val="single" w:color="C9D3E3" w:sz="4"/>
              <w:right w:val="single" w:color="C9D3E3" w:sz="4"/>
            </w:tcBorders>
            <w:shd w:fill="1B2A49" w:color="auto" w:val="clear"/>
            <w:tcMar>
              <w:top w:type="dxa" w:w="80"/>
              <w:left w:type="dxa" w:w="120"/>
              <w:bottom w:type="dxa" w:w="80"/>
              <w:right w:type="dxa" w:w="120"/>
            </w:tcMar>
          </w:tcPr>
          <w:p>
            <w:pPr>
              <w:spacing w:after="0"/>
            </w:pPr>
            <w:r>
              <w:rPr>
                <w:b/>
                <w:bCs/>
                <w:color w:val="FFFFFF"/>
                <w:sz w:val="20"/>
                <w:szCs w:val="20"/>
              </w:rPr>
              <w:t xml:space="preserve">What happens</w:t>
            </w:r>
          </w:p>
        </w:tc>
      </w:tr>
      <w:tr>
        <w:tc>
          <w:tcPr>
            <w:tcW w:type="dxa" w:w="10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0:40</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DoD</w:t>
            </w:r>
          </w:p>
        </w:tc>
        <w:tc>
          <w:tcPr>
            <w:tcW w:type="dxa" w:w="61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Injects the radar alert and requests a conjunction assessment. TideCloak returns 202 and waits for quorum.</w:t>
            </w:r>
          </w:p>
        </w:tc>
      </w:tr>
      <w:tr>
        <w:tc>
          <w:tcPr>
            <w:tcW w:type="dxa" w:w="10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0:50</w:t>
            </w:r>
          </w:p>
        </w:tc>
        <w:tc>
          <w:tcPr>
            <w:tcW w:type="dxa" w:w="19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Admin</w:t>
            </w:r>
          </w:p>
        </w:tc>
        <w:tc>
          <w:tcPr>
            <w:tcW w:type="dxa" w:w="61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Attempts a platform admin read. Refused: every ORK node denies the decryption.</w:t>
            </w:r>
          </w:p>
        </w:tc>
      </w:tr>
      <w:tr>
        <w:tc>
          <w:tcPr>
            <w:tcW w:type="dxa" w:w="10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1:05</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DoD</w:t>
            </w:r>
          </w:p>
        </w:tc>
        <w:tc>
          <w:tcPr>
            <w:tcW w:type="dxa" w:w="61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Approves in their Tide enclave. One of two approvals.</w:t>
            </w:r>
          </w:p>
        </w:tc>
      </w:tr>
      <w:tr>
        <w:tc>
          <w:tcPr>
            <w:tcW w:type="dxa" w:w="10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1:12</w:t>
            </w:r>
          </w:p>
        </w:tc>
        <w:tc>
          <w:tcPr>
            <w:tcW w:type="dxa" w:w="19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Commercial</w:t>
            </w:r>
          </w:p>
        </w:tc>
        <w:tc>
          <w:tcPr>
            <w:tcW w:type="dxa" w:w="61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Tries to run the assessment. Refused: authority has not emerged yet.</w:t>
            </w:r>
          </w:p>
        </w:tc>
      </w:tr>
      <w:tr>
        <w:tc>
          <w:tcPr>
            <w:tcW w:type="dxa" w:w="10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1:22</w:t>
            </w:r>
          </w:p>
        </w:tc>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Commercial</w:t>
            </w:r>
          </w:p>
        </w:tc>
        <w:tc>
          <w:tcPr>
            <w:tcW w:type="dxa" w:w="6126"/>
            <w:tcBorders>
              <w:top w:val="single" w:color="C9D3E3" w:sz="4"/>
              <w:left w:val="single" w:color="C9D3E3" w:sz="4"/>
              <w:bottom w:val="single" w:color="C9D3E3" w:sz="4"/>
              <w:right w:val="single" w:color="C9D3E3" w:sz="4"/>
            </w:tcBorders>
            <w:tcMar>
              <w:top w:type="dxa" w:w="80"/>
              <w:left w:type="dxa" w:w="120"/>
              <w:bottom w:type="dxa" w:w="80"/>
              <w:right w:type="dxa" w:w="120"/>
            </w:tcMar>
          </w:tcPr>
          <w:p>
            <w:pPr>
              <w:spacing w:after="0"/>
            </w:pPr>
            <w:r>
              <w:rPr>
                <w:b w:val="false"/>
                <w:bCs w:val="false"/>
                <w:color w:val="1F2933"/>
                <w:sz w:val="20"/>
                <w:szCs w:val="20"/>
              </w:rPr>
              <w:t xml:space="preserve">Approves in their Tide enclave. Two of two, so TideCloak commits the grant.</w:t>
            </w:r>
          </w:p>
        </w:tc>
      </w:tr>
      <w:tr>
        <w:tc>
          <w:tcPr>
            <w:tcW w:type="dxa" w:w="10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1:30</w:t>
            </w:r>
          </w:p>
        </w:tc>
        <w:tc>
          <w:tcPr>
            <w:tcW w:type="dxa" w:w="1900"/>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Commercial</w:t>
            </w:r>
          </w:p>
        </w:tc>
        <w:tc>
          <w:tcPr>
            <w:tcW w:type="dxa" w:w="6126"/>
            <w:tcBorders>
              <w:top w:val="single" w:color="C9D3E3" w:sz="4"/>
              <w:left w:val="single" w:color="C9D3E3" w:sz="4"/>
              <w:bottom w:val="single" w:color="C9D3E3" w:sz="4"/>
              <w:right w:val="single" w:color="C9D3E3" w:sz="4"/>
            </w:tcBorders>
            <w:shd w:fill="F7F9FC" w:color="auto" w:val="clear"/>
            <w:tcMar>
              <w:top w:type="dxa" w:w="80"/>
              <w:left w:type="dxa" w:w="120"/>
              <w:bottom w:type="dxa" w:w="80"/>
              <w:right w:type="dxa" w:w="120"/>
            </w:tcMar>
          </w:tcPr>
          <w:p>
            <w:pPr>
              <w:spacing w:after="0"/>
            </w:pPr>
            <w:r>
              <w:rPr>
                <w:b w:val="false"/>
                <w:bCs w:val="false"/>
                <w:color w:val="1F2933"/>
                <w:sz w:val="20"/>
                <w:szCs w:val="20"/>
              </w:rPr>
              <w:t xml:space="preserve">Runs the assessment. Both trajectories decrypt in this browser and the manoeuvre is delivered to Starlink only.</w:t>
            </w:r>
          </w:p>
        </w:tc>
      </w:tr>
    </w:tbl>
    <w:p>
      <w:pPr>
        <w:spacing w:after="120"/>
      </w:pPr>
    </w:p>
    <w:p>
      <w:pPr>
        <w:pStyle w:val="Heading1"/>
      </w:pPr>
      <w:r>
        <w:t xml:space="preserve">10. Honest limits</w:t>
      </w:r>
    </w:p>
    <w:p>
      <w:pPr>
        <w:pStyle w:val="ListParagraph"/>
        <w:numPr>
          <w:ilvl w:val="0"/>
          <w:numId w:val="2"/>
        </w:numPr>
        <w:spacing w:after="80" w:line="290"/>
      </w:pPr>
      <w:r>
        <w:rPr>
          <w:b/>
          <w:bCs/>
        </w:rPr>
        <w:t xml:space="preserve">Quorum size. </w:t>
      </w:r>
      <w:r>
        <w:t xml:space="preserve">Tide’s admin quorum is max(1, floor(0.7 × admins)). With three approvers it is 2-of-3, so the admin alone or one operator alone is refused, but the admin plus one operator could also approve. A production deployment would use per-organisation approver groups.</w:t>
      </w:r>
    </w:p>
    <w:p>
      <w:pPr>
        <w:pStyle w:val="ListParagraph"/>
        <w:numPr>
          <w:ilvl w:val="0"/>
          <w:numId w:val="2"/>
        </w:numPr>
        <w:spacing w:after="80" w:line="290"/>
      </w:pPr>
      <w:r>
        <w:rPr>
          <w:b/>
          <w:bCs/>
        </w:rPr>
        <w:t xml:space="preserve">Where plaintext exists. </w:t>
      </w:r>
      <w:r>
        <w:t xml:space="preserve">Decrypted trajectories exist only in the acting operator’s browser memory.</w:t>
      </w:r>
    </w:p>
    <w:p>
      <w:pPr>
        <w:pStyle w:val="ListParagraph"/>
        <w:numPr>
          <w:ilvl w:val="0"/>
          <w:numId w:val="2"/>
        </w:numPr>
        <w:spacing w:after="80" w:line="290"/>
      </w:pPr>
      <w:r>
        <w:rPr>
          <w:b/>
          <w:bCs/>
        </w:rPr>
        <w:t xml:space="preserve">Role propagation delay. </w:t>
      </w:r>
      <w:r>
        <w:t xml:space="preserve">After both approvals, the new role can take up to about two minutes to reach the token. Logging out and back in helps.</w:t>
      </w:r>
    </w:p>
    <w:p>
      <w:pPr>
        <w:pStyle w:val="ListParagraph"/>
        <w:numPr>
          <w:ilvl w:val="0"/>
          <w:numId w:val="2"/>
        </w:numPr>
        <w:spacing w:after="80" w:line="290"/>
      </w:pPr>
      <w:r>
        <w:rPr>
          <w:b/>
          <w:bCs/>
        </w:rPr>
        <w:t xml:space="preserve">Prototype scope. </w:t>
      </w:r>
      <w:r>
        <w:t xml:space="preserve">Orbital data, radar and manoeuvre calculation are simulated placeholders.</w:t>
      </w:r>
    </w:p>
    <w:p>
      <w:pPr>
        <w:pStyle w:val="Heading1"/>
      </w:pPr>
      <w:r>
        <w:t xml:space="preserve">11. Where this goes next</w:t>
      </w:r>
    </w:p>
    <w:p>
      <w:pPr>
        <w:spacing w:after="140" w:line="300"/>
      </w:pPr>
      <w:r>
        <w:t xml:space="preserve">The satellite scenario is one instance of a general pattern: rivals who must cooperate on sensitive data, where no one can be trusted with a master key. The same approach applies to shared threat intelligence between organisations, cross-agency investigations and joint medical research.</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8"/>
        <w:szCs w:val="18"/>
      </w:rPr>
      <w:t xml:space="preserve">BlindOrbit – Application Overview   |   Page </w:t>
    </w:r>
    <w:r>
      <w:rPr>
        <w:color w:val="5A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B2A49"/>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6BE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BlindOrbit: Application Overview</dc:title>
  <dc:creator>BlindOrbit</dc:creator>
  <cp:lastModifiedBy>Un-named</cp:lastModifiedBy>
  <cp:revision>1</cp:revision>
  <dcterms:created xsi:type="dcterms:W3CDTF">2026-10-22T08:58:36.585Z</dcterms:created>
  <dcterms:modified xsi:type="dcterms:W3CDTF">2026-10-22T08:58:36.586Z</dcterms:modified>
</cp:coreProperties>
</file>

<file path=docProps/custom.xml><?xml version="1.0" encoding="utf-8"?>
<Properties xmlns="http://schemas.openxmlformats.org/officeDocument/2006/custom-properties" xmlns:vt="http://schemas.openxmlformats.org/officeDocument/2006/docPropsVTypes"/>
</file>