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teloginnholdLTGliederung1"/>
        <w:spacing w:before="64" w:after="0"/>
        <w:ind w:left="0" w:right="0" w:hanging="0"/>
        <w:jc w:val="center"/>
        <w:rPr>
          <w:rFonts w:ascii="Arial" w:hAnsi="Arial"/>
          <w:b/>
          <w:bCs/>
          <w:sz w:val="40"/>
          <w:szCs w:val="28"/>
          <w:u w:val="single"/>
        </w:rPr>
      </w:pPr>
      <w:r>
        <w:rPr>
          <w:rFonts w:ascii="Arial" w:hAnsi="Arial"/>
          <w:b/>
          <w:bCs/>
          <w:sz w:val="40"/>
          <w:szCs w:val="28"/>
          <w:u w:val="single"/>
        </w:rPr>
        <w:t>List of Articles</w:t>
      </w:r>
    </w:p>
    <w:p>
      <w:pPr>
        <w:pStyle w:val="TitteloginnholdLTGliederung1"/>
        <w:spacing w:before="64" w:after="0"/>
        <w:ind w:left="0" w:right="0" w:hanging="0"/>
        <w:jc w:val="center"/>
        <w:rPr>
          <w:rFonts w:ascii="Arial" w:hAnsi="Arial"/>
          <w:b/>
          <w:bCs/>
          <w:sz w:val="40"/>
          <w:szCs w:val="28"/>
          <w:u w:val="single"/>
        </w:rPr>
      </w:pPr>
      <w:r>
        <w:rPr>
          <w:rFonts w:ascii="Arial" w:hAnsi="Arial"/>
          <w:b/>
          <w:bCs/>
          <w:sz w:val="40"/>
          <w:szCs w:val="28"/>
          <w:u w:val="single"/>
        </w:rPr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 w:val="false"/>
          <w:bCs w:val="false"/>
          <w:sz w:val="32"/>
          <w:szCs w:val="28"/>
          <w:u w:val="none"/>
        </w:rPr>
      </w:pPr>
      <w:r>
        <w:rPr>
          <w:rFonts w:ascii="Arial" w:hAnsi="Arial"/>
          <w:b/>
          <w:bCs/>
          <w:sz w:val="32"/>
          <w:szCs w:val="28"/>
          <w:u w:val="none"/>
        </w:rPr>
        <w:t>PhD Candidate:</w:t>
      </w:r>
      <w:r>
        <w:rPr>
          <w:rFonts w:ascii="Arial" w:hAnsi="Arial"/>
          <w:b w:val="false"/>
          <w:bCs w:val="false"/>
          <w:sz w:val="32"/>
          <w:szCs w:val="28"/>
          <w:u w:val="none"/>
        </w:rPr>
        <w:t xml:space="preserve"> Muhammad Salman Siddiqui</w:t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 w:val="false"/>
          <w:bCs w:val="false"/>
          <w:sz w:val="32"/>
          <w:szCs w:val="28"/>
          <w:u w:val="none"/>
        </w:rPr>
      </w:pPr>
      <w:r>
        <w:rPr>
          <w:rFonts w:ascii="Arial" w:hAnsi="Arial"/>
          <w:b/>
          <w:bCs/>
          <w:sz w:val="32"/>
          <w:szCs w:val="28"/>
          <w:u w:val="none"/>
        </w:rPr>
        <w:t>Supervisor</w:t>
      </w:r>
      <w:r>
        <w:rPr>
          <w:rFonts w:ascii="Arial" w:hAnsi="Arial"/>
          <w:b w:val="false"/>
          <w:bCs w:val="false"/>
          <w:sz w:val="32"/>
          <w:szCs w:val="28"/>
          <w:u w:val="none"/>
        </w:rPr>
        <w:t>: Trond Kvamsdal</w:t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/>
          <w:bCs/>
          <w:sz w:val="32"/>
          <w:szCs w:val="28"/>
          <w:u w:val="none"/>
        </w:rPr>
      </w:pPr>
      <w:r>
        <w:rPr>
          <w:rFonts w:ascii="Arial" w:hAnsi="Arial"/>
          <w:b/>
          <w:bCs/>
          <w:sz w:val="32"/>
          <w:szCs w:val="28"/>
          <w:u w:val="none"/>
        </w:rPr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/>
          <w:bCs/>
          <w:sz w:val="40"/>
          <w:szCs w:val="28"/>
          <w:u w:val="single"/>
        </w:rPr>
      </w:pPr>
      <w:r>
        <w:rPr>
          <w:rFonts w:ascii="Arial" w:hAnsi="Arial"/>
          <w:b/>
          <w:bCs/>
          <w:sz w:val="40"/>
          <w:szCs w:val="28"/>
          <w:u w:val="single"/>
        </w:rPr>
        <w:t>Journal papers</w:t>
      </w:r>
    </w:p>
    <w:p>
      <w:pPr>
        <w:pStyle w:val="TitteloginnholdLTGliederung1"/>
        <w:spacing w:before="64" w:after="0"/>
        <w:ind w:left="0" w:right="0" w:hanging="0"/>
        <w:jc w:val="center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Siddiqui MS,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 xml:space="preserve">, Kvamsdal T, Tabib M,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Three Dimensional Variable Turbulent Intensity Flow Field Characterization of a Vertical Axis Wind Turbine</w:t>
      </w:r>
      <w:r>
        <w:rPr>
          <w:rFonts w:ascii="Arial" w:hAnsi="Arial"/>
          <w:b w:val="false"/>
          <w:bCs w:val="false"/>
          <w:sz w:val="28"/>
          <w:szCs w:val="28"/>
        </w:rPr>
        <w:t xml:space="preserve">, Energy Procedia, 80:312-320, 2015. </w:t>
      </w:r>
      <w:r>
        <w:rPr>
          <w:rFonts w:ascii="Arial" w:hAnsi="Arial"/>
          <w:b/>
          <w:bCs/>
          <w:sz w:val="28"/>
          <w:szCs w:val="28"/>
        </w:rPr>
        <w:t>(Published)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Siddiqui M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 xml:space="preserve">, Tabib M, Kvamsdal T,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Numerical analysis of the NREL 5MW wind turbine: A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S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tudy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T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owards a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B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etter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U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nderstanding of Wake Dynamics and Torque Generation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M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echanism, </w:t>
      </w:r>
      <w:r>
        <w:rPr>
          <w:rFonts w:ascii="Arial" w:hAnsi="Arial"/>
          <w:b w:val="false"/>
          <w:bCs w:val="false"/>
          <w:sz w:val="28"/>
          <w:szCs w:val="28"/>
        </w:rPr>
        <w:t xml:space="preserve">Journal of Physics Conf. Series 753 (2016), 032059. </w:t>
      </w:r>
      <w:r>
        <w:rPr>
          <w:rFonts w:ascii="Arial" w:hAnsi="Arial"/>
          <w:b/>
          <w:bCs/>
          <w:sz w:val="28"/>
          <w:szCs w:val="28"/>
        </w:rPr>
        <w:t xml:space="preserve"> (Published)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Siddiqui M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 xml:space="preserve">, Tabib M, Kvamsdal T, 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>Numerical Frame Work for NREL 5MW Wind Turbine using Variable Level of Geometric Approximations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Fonts w:ascii="Arial" w:hAnsi="Arial"/>
          <w:b w:val="false"/>
          <w:bCs w:val="false"/>
          <w:sz w:val="28"/>
          <w:szCs w:val="28"/>
        </w:rPr>
        <w:t xml:space="preserve">Journal of </w:t>
      </w:r>
      <w:r>
        <w:rPr>
          <w:rFonts w:ascii="Arial" w:hAnsi="Arial"/>
          <w:b w:val="false"/>
          <w:bCs w:val="false"/>
          <w:sz w:val="28"/>
          <w:szCs w:val="28"/>
        </w:rPr>
        <w:t xml:space="preserve">Wind Energy. </w:t>
      </w:r>
      <w:r>
        <w:rPr>
          <w:rFonts w:ascii="Arial" w:hAnsi="Arial"/>
          <w:b/>
          <w:bCs/>
          <w:sz w:val="28"/>
          <w:szCs w:val="28"/>
        </w:rPr>
        <w:t>(Ready for Submission)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Siddiqui M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 xml:space="preserve">, Tabib M, Kvamsdal T, 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 xml:space="preserve">Numerical Study 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>T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>owards Stationary and Dynamic Stall Characteristics of NACA0015 Airfoil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Fonts w:ascii="Arial" w:hAnsi="Arial"/>
          <w:b w:val="false"/>
          <w:bCs w:val="false"/>
          <w:sz w:val="28"/>
          <w:szCs w:val="28"/>
        </w:rPr>
        <w:t xml:space="preserve">Journal of </w:t>
      </w:r>
      <w:r>
        <w:rPr>
          <w:rFonts w:ascii="Arial" w:hAnsi="Arial"/>
          <w:b w:val="false"/>
          <w:bCs w:val="false"/>
          <w:sz w:val="28"/>
          <w:szCs w:val="28"/>
        </w:rPr>
        <w:t xml:space="preserve">Wind Engineering &amp; Industrial Aerodynamics. </w:t>
      </w:r>
      <w:r>
        <w:rPr>
          <w:rFonts w:ascii="Arial" w:hAnsi="Arial"/>
          <w:b/>
          <w:bCs/>
          <w:sz w:val="28"/>
          <w:szCs w:val="28"/>
        </w:rPr>
        <w:t>(Ready for Submission)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Conference papers</w:t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Siddiqui M</w:t>
      </w:r>
      <w:r>
        <w:rPr>
          <w:rFonts w:ascii="Arial" w:hAnsi="Arial"/>
          <w:b w:val="false"/>
          <w:bCs w:val="false"/>
          <w:sz w:val="28"/>
          <w:szCs w:val="28"/>
        </w:rPr>
        <w:t>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>, Tabib M, Kvamsdal T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, Numerical Modeling Framework for Wind Turbine Analysis &amp; Atmospheric Boundary Layer Interaction, </w:t>
      </w:r>
      <w:r>
        <w:rPr>
          <w:rFonts w:ascii="Arial" w:hAnsi="Arial"/>
          <w:b w:val="false"/>
          <w:bCs w:val="false"/>
          <w:sz w:val="28"/>
          <w:szCs w:val="28"/>
        </w:rPr>
        <w:t xml:space="preserve">AIAA SciTech Conference </w:t>
      </w:r>
      <w:r>
        <w:rPr>
          <w:rFonts w:ascii="Arial" w:hAnsi="Arial"/>
          <w:b w:val="false"/>
          <w:bCs w:val="false"/>
          <w:sz w:val="28"/>
          <w:szCs w:val="28"/>
        </w:rPr>
        <w:t>2017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Fonts w:ascii="Arial" w:hAnsi="Arial"/>
          <w:b w:val="false"/>
          <w:bCs w:val="false"/>
          <w:sz w:val="28"/>
          <w:szCs w:val="28"/>
        </w:rPr>
        <w:t>Gra</w:t>
      </w:r>
      <w:r>
        <w:rPr>
          <w:rFonts w:ascii="Arial" w:hAnsi="Arial"/>
          <w:b w:val="false"/>
          <w:bCs w:val="false"/>
          <w:sz w:val="28"/>
          <w:szCs w:val="28"/>
        </w:rPr>
        <w:t>p</w:t>
      </w:r>
      <w:r>
        <w:rPr>
          <w:rFonts w:ascii="Arial" w:hAnsi="Arial"/>
          <w:b w:val="false"/>
          <w:bCs w:val="false"/>
          <w:sz w:val="28"/>
          <w:szCs w:val="28"/>
        </w:rPr>
        <w:t xml:space="preserve">evine Texas, </w:t>
      </w:r>
      <w:r>
        <w:rPr>
          <w:rFonts w:ascii="Arial" w:hAnsi="Arial"/>
          <w:b w:val="false"/>
          <w:bCs w:val="false"/>
          <w:sz w:val="28"/>
          <w:szCs w:val="28"/>
        </w:rPr>
        <w:t>USA.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(Accepted)</w:t>
      </w:r>
    </w:p>
    <w:p>
      <w:pPr>
        <w:pStyle w:val="TitteloginnholdLTGliederung1"/>
        <w:spacing w:before="64" w:after="0"/>
        <w:ind w:left="0" w:right="0" w:hanging="0"/>
        <w:rPr/>
      </w:pPr>
      <w:r>
        <w:rPr/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Siddiqui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MS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color w:val="000000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, Tabib M, Kvamsdal T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 xml:space="preserve">, Explaining the Torque vs TSR 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>C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 xml:space="preserve">urve in a Fully Resolved Setting on a Mega Watt Size Wind Turbine.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1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4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th Deep Sea Offshore Wind R&amp;D Conference, Deepwind, Trondheim, Norway. </w:t>
      </w:r>
      <w:r>
        <w:rPr>
          <w:rFonts w:ascii="Arial" w:hAnsi="Arial"/>
          <w:b/>
          <w:bCs/>
          <w:color w:val="000000"/>
          <w:sz w:val="28"/>
          <w:szCs w:val="28"/>
        </w:rPr>
        <w:t>(Accepted)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Siddiqui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MS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color w:val="000000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, Tabib M, Kvamsdal T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 xml:space="preserve">, Simulating Single turbine and associated wake development - validation and comparison of computational methods (Actuator Line Vs Sliding Mesh Interface Vs Multiple Reference Frame) , 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>14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th Deep Sea Offshore Wind R&amp;D Conference, Deepwind, 201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7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, Trondheim, Norway. </w:t>
      </w:r>
      <w:r>
        <w:rPr>
          <w:rFonts w:ascii="Arial" w:hAnsi="Arial"/>
          <w:b/>
          <w:bCs/>
          <w:color w:val="000000"/>
          <w:sz w:val="28"/>
          <w:szCs w:val="28"/>
        </w:rPr>
        <w:t>(Accepted)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Siddiqui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MS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color w:val="000000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, Tabib M, Kvamsdal T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 xml:space="preserve">, On the interaction between Windfarms and Marine Boundary Layer, </w:t>
      </w:r>
      <w:r>
        <w:rPr>
          <w:rFonts w:ascii="Arial" w:hAnsi="Arial"/>
          <w:sz w:val="28"/>
          <w:szCs w:val="28"/>
        </w:rPr>
        <w:t xml:space="preserve">37th International Conference on Ocean, Offshore &amp; Arctic Engineering </w:t>
      </w:r>
      <w:r>
        <w:rPr>
          <w:rFonts w:ascii="Arial" w:hAnsi="Arial"/>
          <w:sz w:val="28"/>
          <w:szCs w:val="28"/>
        </w:rPr>
        <w:t>(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OMAE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)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 2017,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Trondheim,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Norway. </w:t>
      </w:r>
      <w:r>
        <w:rPr>
          <w:rFonts w:ascii="Arial" w:hAnsi="Arial"/>
          <w:b/>
          <w:bCs/>
          <w:color w:val="000000"/>
          <w:sz w:val="28"/>
          <w:szCs w:val="28"/>
        </w:rPr>
        <w:t>(Accepted)</w:t>
      </w:r>
    </w:p>
    <w:p>
      <w:pPr>
        <w:pStyle w:val="TitteloginnholdLTGliederung1"/>
        <w:spacing w:before="64" w:after="0"/>
        <w:ind w:left="0" w:right="0" w:hanging="0"/>
        <w:jc w:val="left"/>
        <w:rPr/>
      </w:pPr>
      <w:r>
        <w:rPr/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Poster presnetatio</w:t>
      </w:r>
      <w:r>
        <w:rPr>
          <w:rFonts w:ascii="Arial" w:hAnsi="Arial"/>
          <w:b/>
          <w:bCs/>
          <w:sz w:val="40"/>
          <w:szCs w:val="40"/>
          <w:u w:val="single"/>
        </w:rPr>
        <w:t>ns</w:t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jc w:val="left"/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Siddiqui </w:t>
      </w:r>
      <w:r>
        <w:rPr>
          <w:rFonts w:ascii="Arial" w:hAnsi="Arial"/>
          <w:b w:val="false"/>
          <w:bCs w:val="false"/>
          <w:sz w:val="28"/>
          <w:szCs w:val="28"/>
        </w:rPr>
        <w:t>MS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>, Tabib M, Kvamsdal T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, 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Fluid Surface Interaction(FSI) 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>A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nalysis of Mega Watt Size Offshore Wind Turbine, </w:t>
      </w:r>
      <w:r>
        <w:rPr>
          <w:rStyle w:val="Emphasis"/>
          <w:rFonts w:ascii="Arial" w:hAnsi="Arial"/>
          <w:b w:val="false"/>
          <w:bCs w:val="false"/>
          <w:i w:val="false"/>
          <w:iCs w:val="false"/>
          <w:sz w:val="28"/>
          <w:szCs w:val="28"/>
        </w:rPr>
        <w:t>Math Meets Industry Conference, 22-33 September, Trondheim, Norway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>.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TitteloginnholdLTGliederung1"/>
        <w:spacing w:before="64" w:after="0"/>
        <w:ind w:left="0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jc w:val="left"/>
        <w:rPr>
          <w:rFonts w:ascii="Arial" w:hAnsi="Arial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Siddiqui </w:t>
      </w:r>
      <w:r>
        <w:rPr>
          <w:rFonts w:ascii="Arial" w:hAnsi="Arial"/>
          <w:b w:val="false"/>
          <w:bCs w:val="false"/>
          <w:sz w:val="28"/>
          <w:szCs w:val="28"/>
        </w:rPr>
        <w:t>MS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sz w:val="28"/>
          <w:szCs w:val="28"/>
        </w:rPr>
        <w:t>, Tabib M, Kvamsdal T</w:t>
      </w:r>
      <w:r>
        <w:rPr>
          <w:rStyle w:val="Emphasis"/>
          <w:rFonts w:ascii="Arial" w:hAnsi="Arial"/>
          <w:b w:val="false"/>
          <w:bCs w:val="false"/>
          <w:sz w:val="28"/>
          <w:szCs w:val="28"/>
        </w:rPr>
        <w:t xml:space="preserve">,  </w:t>
      </w:r>
      <w:r>
        <w:rPr>
          <w:rStyle w:val="Emphasis"/>
          <w:rFonts w:ascii="Arial" w:hAnsi="Arial"/>
          <w:b w:val="false"/>
          <w:bCs w:val="false"/>
          <w:i/>
          <w:iCs/>
          <w:sz w:val="28"/>
          <w:szCs w:val="28"/>
        </w:rPr>
        <w:t>Nu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>merical Analysis of NREL 5MW Wind Turbine: A Study Towards a Better Understanding of Wake Characteristic and Torque Generation Mechanism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 ”, The Science of Making Torque from Wind Conference, Torque, 4-7 October, Munich, Germany.</w:t>
      </w:r>
    </w:p>
    <w:p>
      <w:pPr>
        <w:pStyle w:val="TitteloginnholdLTGliederung1"/>
        <w:spacing w:before="64" w:after="0"/>
        <w:ind w:left="0" w:right="0" w:hanging="0"/>
        <w:rPr/>
      </w:pPr>
      <w:r>
        <w:rPr/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jc w:val="left"/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Siddiqui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MS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color w:val="000000"/>
          <w:sz w:val="28"/>
          <w:szCs w:val="28"/>
        </w:rPr>
        <w:t>Rasheed A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,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 xml:space="preserve">Kvamsdal T, 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Tabib M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</w:rPr>
        <w:t xml:space="preserve">, 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>Three Dimensional Variable Turbulent Intensity Flow Field Characterization of a Vertical</w:t>
      </w:r>
    </w:p>
    <w:p>
      <w:pPr>
        <w:pStyle w:val="TitteloginnholdLTGliederung1"/>
        <w:spacing w:before="64" w:after="0"/>
        <w:ind w:left="0" w:right="0" w:hanging="0"/>
        <w:rPr>
          <w:rFonts w:ascii="Arial" w:hAnsi="Arial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</w:rPr>
        <w:t>Axis Wind Turbine</w:t>
      </w:r>
      <w:r>
        <w:rPr>
          <w:rFonts w:ascii="Arial" w:hAnsi="Arial"/>
          <w:b w:val="false"/>
          <w:bCs w:val="false"/>
          <w:color w:val="000000"/>
          <w:sz w:val="28"/>
          <w:szCs w:val="28"/>
        </w:rPr>
        <w:t>”, 12th Deep Sea Offshore Wind R&amp;D Conference, Deepwind, 4-6 February 2015, Trondheim, Norway.</w:t>
      </w:r>
    </w:p>
    <w:p>
      <w:pPr>
        <w:pStyle w:val="TitteloginnholdLTGliederung1"/>
        <w:spacing w:before="64" w:after="0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teloginnholdLTGliederung1"/>
        <w:spacing w:before="64" w:after="0"/>
        <w:ind w:left="0" w:right="0" w:hanging="0"/>
        <w:jc w:val="left"/>
        <w:rPr>
          <w:rFonts w:ascii="Arial" w:hAnsi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/>
          <w:b/>
          <w:bCs/>
          <w:color w:val="000000"/>
          <w:sz w:val="40"/>
          <w:szCs w:val="40"/>
          <w:u w:val="single"/>
        </w:rPr>
        <w:t>A</w:t>
      </w:r>
      <w:r>
        <w:rPr>
          <w:rFonts w:ascii="Arial" w:hAnsi="Arial"/>
          <w:b/>
          <w:bCs/>
          <w:color w:val="000000"/>
          <w:sz w:val="40"/>
          <w:szCs w:val="40"/>
          <w:u w:val="single"/>
        </w:rPr>
        <w:t>rticles in preparation</w:t>
      </w:r>
    </w:p>
    <w:p>
      <w:pPr>
        <w:pStyle w:val="TitteloginnholdLTGliederung1"/>
        <w:numPr>
          <w:ilvl w:val="0"/>
          <w:numId w:val="1"/>
        </w:numPr>
        <w:spacing w:before="64" w:after="0"/>
        <w:ind w:left="0" w:right="0" w:hanging="0"/>
        <w:jc w:val="left"/>
        <w:rPr>
          <w:rFonts w:ascii="Arial" w:hAnsi="Arial"/>
          <w:b/>
          <w:bCs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Siddiqui M</w:t>
      </w: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S</w:t>
      </w: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 xml:space="preserve">, </w:t>
      </w:r>
      <w:r>
        <w:rPr>
          <w:rStyle w:val="StrongEmphasis"/>
          <w:rFonts w:ascii="Arial" w:hAnsi="Arial"/>
          <w:b w:val="false"/>
          <w:bCs w:val="false"/>
          <w:color w:val="000000"/>
          <w:sz w:val="28"/>
          <w:szCs w:val="28"/>
          <w:u w:val="none"/>
        </w:rPr>
        <w:t>Rasheed A</w:t>
      </w: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 xml:space="preserve">, Tabib M, Kvamsdal T, 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  <w:u w:val="none"/>
        </w:rPr>
        <w:t>Reduce Order Model of Torque Generation on a Mega Watt Size Horizontal Axis Wind Turbine</w:t>
      </w:r>
      <w:r>
        <w:rPr>
          <w:rStyle w:val="Emphasis"/>
          <w:rFonts w:ascii="Arial" w:hAnsi="Arial"/>
          <w:b w:val="false"/>
          <w:bCs w:val="false"/>
          <w:i/>
          <w:iCs/>
          <w:color w:val="000000"/>
          <w:sz w:val="28"/>
          <w:szCs w:val="28"/>
          <w:u w:val="none"/>
        </w:rPr>
        <w:t>,</w:t>
      </w:r>
      <w:r>
        <w:rPr>
          <w:rStyle w:val="Emphasis"/>
          <w:rFonts w:ascii="Arial" w:hAnsi="Arial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 xml:space="preserve">Journal of </w:t>
      </w: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 xml:space="preserve">Wind Energy. </w:t>
      </w:r>
      <w:r>
        <w:rPr>
          <w:rFonts w:ascii="Arial" w:hAnsi="Arial"/>
          <w:b/>
          <w:bCs/>
          <w:color w:val="000000"/>
          <w:sz w:val="28"/>
          <w:szCs w:val="28"/>
          <w:u w:val="none"/>
        </w:rPr>
        <w:t>(</w:t>
      </w:r>
      <w:r>
        <w:rPr>
          <w:rFonts w:ascii="Arial" w:hAnsi="Arial"/>
          <w:b/>
          <w:bCs/>
          <w:color w:val="000000"/>
          <w:sz w:val="28"/>
          <w:szCs w:val="28"/>
          <w:u w:val="none"/>
        </w:rPr>
        <w:t>In preparation</w:t>
      </w:r>
      <w:r>
        <w:rPr>
          <w:rFonts w:ascii="Arial" w:hAnsi="Arial"/>
          <w:b/>
          <w:bCs/>
          <w:color w:val="000000"/>
          <w:sz w:val="28"/>
          <w:szCs w:val="28"/>
          <w:u w:val="none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Arial">
    <w:charset w:val="01"/>
    <w:family w:val="roman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pPr/>
    <w:rPr/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tellysbildeLTGliederung1">
    <w:name w:val="Tittellysbilde~LT~Gliederung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TittellysbildeLTGliederung2">
    <w:name w:val="Tittellysbilde~LT~Gliederung 2"/>
    <w:basedOn w:val="TittellysbildeLTGliederung1"/>
    <w:pPr>
      <w:spacing w:before="0" w:after="22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tellysbildeLTGliederung3">
    <w:name w:val="Tittellysbilde~LT~Gliederung 3"/>
    <w:basedOn w:val="TittellysbildeLTGliederung2"/>
    <w:pPr>
      <w:spacing w:before="0" w:after="17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2"/>
      <w:u w:val="none"/>
      <w:em w:val="none"/>
    </w:rPr>
  </w:style>
  <w:style w:type="paragraph" w:styleId="TittellysbildeLTGliederung4">
    <w:name w:val="Tittellysbilde~LT~Gliederung 4"/>
    <w:basedOn w:val="TittellysbildeLTGliederung3"/>
    <w:pPr>
      <w:spacing w:before="0" w:after="113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tellysbildeLTGliederung5">
    <w:name w:val="Tittellysbilde~LT~Gliederung 5"/>
    <w:basedOn w:val="TittellysbildeLTGliederung4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lysbildeLTGliederung6">
    <w:name w:val="Tittellysbilde~LT~Gliederung 6"/>
    <w:basedOn w:val="TittellysbildeLTGliederung5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lysbildeLTGliederung7">
    <w:name w:val="Tittellysbilde~LT~Gliederung 7"/>
    <w:basedOn w:val="TittellysbildeLTGliederung6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lysbildeLTGliederung8">
    <w:name w:val="Tittellysbilde~LT~Gliederung 8"/>
    <w:basedOn w:val="TittellysbildeLTGliederung7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lysbildeLTGliederung9">
    <w:name w:val="Tittellysbilde~LT~Gliederung 9"/>
    <w:basedOn w:val="TittellysbildeLTGliederung8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lysbildeLTTitel">
    <w:name w:val="Tittellysbilde~LT~Tite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tellysbildeLTUntertitel">
    <w:name w:val="Tittellysbilde~LT~Untertitel"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tellysbildeLTNotizen">
    <w:name w:val="Tittellysbilde~LT~Notizen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tellysbildeLTHintergrundobjekte">
    <w:name w:val="Tittellysbilde~LT~Hintergrundobjekte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tellysbildeLTHintergrund">
    <w:name w:val="Tittellysbilde~LT~Hintergrund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2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oginnholdLTGliederung1">
    <w:name w:val="Tittel og innhold~LT~Gliederung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TitteloginnholdLTGliederung2">
    <w:name w:val="Tittel og innhold~LT~Gliederung 2"/>
    <w:basedOn w:val="TitteloginnholdLTGliederung1"/>
    <w:pPr>
      <w:spacing w:before="0" w:after="22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teloginnholdLTGliederung3">
    <w:name w:val="Tittel og innhold~LT~Gliederung 3"/>
    <w:basedOn w:val="TitteloginnholdLTGliederung2"/>
    <w:pPr>
      <w:spacing w:before="0" w:after="17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2"/>
      <w:u w:val="none"/>
      <w:em w:val="none"/>
    </w:rPr>
  </w:style>
  <w:style w:type="paragraph" w:styleId="TitteloginnholdLTGliederung4">
    <w:name w:val="Tittel og innhold~LT~Gliederung 4"/>
    <w:basedOn w:val="TitteloginnholdLTGliederung3"/>
    <w:pPr>
      <w:spacing w:before="0" w:after="113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teloginnholdLTGliederung5">
    <w:name w:val="Tittel og innhold~LT~Gliederung 5"/>
    <w:basedOn w:val="TitteloginnholdLTGliederung4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oginnholdLTGliederung6">
    <w:name w:val="Tittel og innhold~LT~Gliederung 6"/>
    <w:basedOn w:val="TitteloginnholdLTGliederung5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oginnholdLTGliederung7">
    <w:name w:val="Tittel og innhold~LT~Gliederung 7"/>
    <w:basedOn w:val="TitteloginnholdLTGliederung6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oginnholdLTGliederung8">
    <w:name w:val="Tittel og innhold~LT~Gliederung 8"/>
    <w:basedOn w:val="TitteloginnholdLTGliederung7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oginnholdLTGliederung9">
    <w:name w:val="Tittel og innhold~LT~Gliederung 9"/>
    <w:basedOn w:val="TitteloginnholdLTGliederung8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teloginnholdLTTitel">
    <w:name w:val="Tittel og innhold~LT~Tite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teloginnholdLTUntertitel">
    <w:name w:val="Tittel og innhold~LT~Untertitel"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teloginnholdLTNotizen">
    <w:name w:val="Tittel og innhold~LT~Notizen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teloginnholdLTHintergrundobjekte">
    <w:name w:val="Tittel og innhold~LT~Hintergrundobjekte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teloginnholdLTHintergrund">
    <w:name w:val="Tittel og innhold~LT~Hintergrund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omLTGliederung1">
    <w:name w:val="Tom~LT~Gliederung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TomLTGliederung2">
    <w:name w:val="Tom~LT~Gliederung 2"/>
    <w:basedOn w:val="TomLTGliederung1"/>
    <w:pPr>
      <w:spacing w:before="0" w:after="22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omLTGliederung3">
    <w:name w:val="Tom~LT~Gliederung 3"/>
    <w:basedOn w:val="TomLTGliederung2"/>
    <w:pPr>
      <w:spacing w:before="0" w:after="17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2"/>
      <w:u w:val="none"/>
      <w:em w:val="none"/>
    </w:rPr>
  </w:style>
  <w:style w:type="paragraph" w:styleId="TomLTGliederung4">
    <w:name w:val="Tom~LT~Gliederung 4"/>
    <w:basedOn w:val="TomLTGliederung3"/>
    <w:pPr>
      <w:spacing w:before="0" w:after="113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omLTGliederung5">
    <w:name w:val="Tom~LT~Gliederung 5"/>
    <w:basedOn w:val="TomLTGliederung4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omLTGliederung6">
    <w:name w:val="Tom~LT~Gliederung 6"/>
    <w:basedOn w:val="TomLTGliederung5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omLTGliederung7">
    <w:name w:val="Tom~LT~Gliederung 7"/>
    <w:basedOn w:val="TomLTGliederung6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omLTGliederung8">
    <w:name w:val="Tom~LT~Gliederung 8"/>
    <w:basedOn w:val="TomLTGliederung7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omLTGliederung9">
    <w:name w:val="Tom~LT~Gliederung 9"/>
    <w:basedOn w:val="TomLTGliederung8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omLTTitel">
    <w:name w:val="Tom~LT~Tite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omLTUntertitel">
    <w:name w:val="Tom~LT~Untertitel"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omLTNotizen">
    <w:name w:val="Tom~LT~Notizen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omLTHintergrundobjekte">
    <w:name w:val="Tom~LT~Hintergrundobjekte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omLTHintergrund">
    <w:name w:val="Tom~LT~Hintergrund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retittelLTGliederung1">
    <w:name w:val="Bare tittel~LT~Gliederung 1"/>
    <w:pPr>
      <w:widowControl/>
      <w:suppressAutoHyphens w:val="true"/>
      <w:kinsoku w:val="true"/>
      <w:overflowPunct w:val="true"/>
      <w:autoSpaceDE w:val="true"/>
      <w:bidi w:val="0"/>
      <w:spacing w:before="0" w:after="283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BaretittelLTGliederung2">
    <w:name w:val="Bare tittel~LT~Gliederung 2"/>
    <w:basedOn w:val="BaretittelLTGliederung1"/>
    <w:pPr>
      <w:spacing w:before="0" w:after="22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aretittelLTGliederung3">
    <w:name w:val="Bare tittel~LT~Gliederung 3"/>
    <w:basedOn w:val="BaretittelLTGliederung2"/>
    <w:pPr>
      <w:spacing w:before="0" w:after="17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32"/>
      <w:u w:val="none"/>
      <w:em w:val="none"/>
    </w:rPr>
  </w:style>
  <w:style w:type="paragraph" w:styleId="BaretittelLTGliederung4">
    <w:name w:val="Bare tittel~LT~Gliederung 4"/>
    <w:basedOn w:val="BaretittelLTGliederung3"/>
    <w:pPr>
      <w:spacing w:before="0" w:after="113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BaretittelLTGliederung5">
    <w:name w:val="Bare tittel~LT~Gliederung 5"/>
    <w:basedOn w:val="BaretittelLTGliederung4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aretittelLTGliederung6">
    <w:name w:val="Bare tittel~LT~Gliederung 6"/>
    <w:basedOn w:val="BaretittelLTGliederung5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aretittelLTGliederung7">
    <w:name w:val="Bare tittel~LT~Gliederung 7"/>
    <w:basedOn w:val="BaretittelLTGliederung6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aretittelLTGliederung8">
    <w:name w:val="Bare tittel~LT~Gliederung 8"/>
    <w:basedOn w:val="BaretittelLTGliederung7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aretittelLTGliederung9">
    <w:name w:val="Bare tittel~LT~Gliederung 9"/>
    <w:basedOn w:val="BaretittelLTGliederung8"/>
    <w:pPr>
      <w:spacing w:before="0" w:after="57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aretittelLTTitel">
    <w:name w:val="Bare tittel~LT~Tite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BaretittelLTUntertitel">
    <w:name w:val="Bare tittel~LT~Untertitel"/>
    <w:pPr>
      <w:widowControl/>
      <w:suppressAutoHyphens w:val="true"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aretittelLTNotizen">
    <w:name w:val="Bare tittel~LT~Notizen"/>
    <w:pPr>
      <w:widowControl/>
      <w:suppressAutoHyphens w:val="true"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aretittelLTHintergrundobjekte">
    <w:name w:val="Bare tittel~LT~Hintergrundobjekte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retittelLTHintergrund">
    <w:name w:val="Bare tittel~LT~Hintergrund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2016-11-15T14:37:15Z</dcterms:created>
  <dc:language>en-US</dc:language>
  <dcterms:modified xsi:type="dcterms:W3CDTF">2016-11-15T15:57:15Z</dcterms:modified>
  <cp:revision>11</cp:revision>
</cp:coreProperties>
</file>