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一、作品与交付信息</w:t>
      </w:r>
    </w:p>
    <w:p>
      <w:r>
        <w:t>作品名称：图溯</w:t>
      </w:r>
    </w:p>
    <w:p>
      <w:r>
        <w:t>参赛赛题：赛题4 · AI+场景创新</w:t>
      </w:r>
    </w:p>
    <w:p>
      <w:r>
        <w:t>参赛团队编号：AIC-2026-95418058</w:t>
      </w:r>
    </w:p>
    <w:p>
      <w:r>
        <w:t>整理日期：2026年10月20日；程序版本：2026.10.20.2</w:t>
      </w:r>
    </w:p>
    <w:p>
      <w:r>
        <w:t>源码基线：Ssir-creator/AIC，preview/enterprise-ui，提交 a3ca29a</w:t>
      </w:r>
    </w:p>
    <w:p>
      <w:r>
        <w:t>材料用途：配套源码与运行包的交付说明。原模板标注AC1算法模型创新，本材料按已确定的AI+场景创新整理；提交前请确认系统实际栏目。</w:t>
      </w:r>
    </w:p>
    <w:p>
      <w:r>
        <w:rPr>
          <w:b/>
          <w:sz w:val="26"/>
        </w:rPr>
        <w:t>二、可执行程序与适用系统</w:t>
      </w:r>
    </w:p>
    <w:p>
      <w:r>
        <w:t>运行包：按团队编号统一命名的可执行程序ZIP压缩包，内含真实构建的Linux x86_64可执行文件tusu、网页资源、字体、模型适配脚本和使用说明。内置演示流程无需另装Python。</w:t>
      </w:r>
    </w:p>
    <w:p>
      <w:r>
        <w:t>验证系统为Debian 13、glibc 2.41、x86_64。其他Linux版本未验证；此文件不是Windows .exe或macOS应用。Windows/macOS可使用配套配套源代码ZIP压缩包中的Python启动脚本。</w:t>
      </w:r>
    </w:p>
    <w:p>
      <w:r>
        <w:t>包中不附球形水印权重和密钥；无需GPU的本地流程可直接运行。扩展论文模型由用户另行提供相容环境。</w:t>
      </w:r>
    </w:p>
    <w:p>
      <w:r>
        <w:rPr>
          <w:b/>
          <w:sz w:val="26"/>
        </w:rPr>
        <w:t>三、下载与命名</w:t>
      </w:r>
    </w:p>
    <w:p>
      <w:r>
        <w:t>网盘文件夹：AIC-2026-95418058-AI+场景创新-图溯-可执行程序。百度网盘链接：待上传后填写；提取码：待填。</w:t>
      </w:r>
    </w:p>
    <w:p>
      <w:r>
        <w:t>交付形态为本地浏览器应用，执行程序负责HTTP服务；不能只双击index.html体验后端功能。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四、Linux可执行程序启动</w:t>
      </w:r>
    </w:p>
    <w:p>
      <w:r>
        <w:t>1. 将可执行程序ZIP压缩包完整解压到拥有写权限的本地目录，保留tusu、assets和model_worker.py等相对位置。</w:t>
      </w:r>
    </w:p>
    <w:p>
      <w:r>
        <w:rPr>
          <w:sz w:val="18"/>
        </w:rPr>
        <w:t>cd 解压后的目录</w:t>
        <w:br/>
        <w:t>bash start.sh</w:t>
      </w:r>
    </w:p>
    <w:p>
      <w:r>
        <w:t>2. 保持终端运行，在同一台机器浏览器打开http://127.0.0.1:8765。首次访问点击进入工作空间并注册，无预置管理员账号。</w:t>
      </w:r>
    </w:p>
    <w:p>
      <w:r>
        <w:t>3. 停止时在启动终端按Ctrl+C。重新执行start.sh即可恢复访问；data中保留账户、图片及来源记录。不要在运行中删除数据目录。</w:t>
      </w:r>
    </w:p>
    <w:p>
      <w:r>
        <w:t>4. 端口占用时执行以下命令，并在浏览器打开对应端口：</w:t>
      </w:r>
    </w:p>
    <w:p>
      <w:r>
        <w:rPr>
          <w:sz w:val="18"/>
        </w:rPr>
        <w:t>./tusu --host 127.0.0.1 --port 8766</w:t>
      </w:r>
    </w:p>
    <w:p>
      <w:r>
        <w:rPr>
          <w:b/>
          <w:sz w:val="26"/>
        </w:rPr>
        <w:t>五、Windows/macOS与云端方式</w:t>
      </w:r>
    </w:p>
    <w:p>
      <w:r>
        <w:t>Windows：预装Python 3.11+后，解压配套源代码ZIP压缩包并双击start.bat，首次安装Pillow、NumPy需联网。macOS/Linux可执行bash start.sh；其他系统本轮未实际启动验证。</w:t>
      </w:r>
    </w:p>
    <w:p>
      <w:r>
        <w:t>Codespaces：在运行包目录执行./tusu --host 0.0.0.0 --port 8765，随后在端口面板找到8765，选择打开浏览器。127.0.0.1是云机器内部地址，不是可直接分享的互联网网址。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六、建议验收流程</w:t>
      </w:r>
    </w:p>
    <w:p>
      <w:r>
        <w:t>1. 创建工作空间，进入水印任务，查看球形水印生成入口及当前环境提示。</w:t>
      </w:r>
    </w:p>
    <w:p>
      <w:r>
        <w:t>2. 切换已有图片辅助处理，启用本地流程演示；上传PNG/JPG，填写名称、署名、业务编号及公开范围，提交后查看处理前后对照并下载。</w:t>
      </w:r>
    </w:p>
    <w:p>
      <w:r>
        <w:t>3. 进入内容与来源记录，搜索刚登记图片，检查详情、公开范围和核验历史。</w:t>
      </w:r>
    </w:p>
    <w:p>
      <w:r>
        <w:t>4. 在检测与报告上传下载后的交付图，核对来源匹配并下载报告。也可上传多图进行批量处理。</w:t>
      </w:r>
    </w:p>
    <w:p>
      <w:r>
        <w:t>5. 对允许公开的记录，在公开核验入口上传交付图，仅查看允许公开的来源字段。</w:t>
      </w:r>
    </w:p>
    <w:p>
      <w:r>
        <w:t>6. 开发者中心创建API密钥，进行实际接口测试，查看请求日志；测试结束后可撤销该密钥。</w:t>
      </w:r>
    </w:p>
    <w:p>
      <w:r>
        <w:rPr>
          <w:b/>
          <w:sz w:val="26"/>
        </w:rPr>
        <w:t>七、打包程序验证结果</w:t>
      </w:r>
    </w:p>
    <w:p>
      <w:r>
        <w:t>已实际启动Linux二进制，通过健康检查、首页和静态资源、能力状态、注册会话、真实演示水印嵌入、受控图片下载、公开来源匹配、来源记录持久化及有声演示视频访问检查。验证账号与图片在交付前清除。</w:t>
      </w:r>
    </w:p>
    <w:p>
      <w:r>
        <w:t>源码回归测试22项通过。以上是本地原型与打包程序检查，不是球形水印的鲁棒性数据或生产部署认证。测试记录见runtime-smoke.txt及source-tests.txt。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可执行程序说明</w:t>
      </w:r>
    </w:p>
    <w:p>
      <w:r>
        <w:rPr>
          <w:b/>
          <w:sz w:val="26"/>
        </w:rPr>
        <w:t>八、球形水印环境接入</w:t>
      </w:r>
    </w:p>
    <w:p>
      <w:r>
        <w:t>在独立环境安装论文上游代码及其依赖，准备本地扩散模型和可信密钥。将config.example.json复制为config.json，填写spherical.python、repo、model、key、device及steps。路径必须在当前机器实际存在。</w:t>
      </w:r>
    </w:p>
    <w:p>
      <w:r>
        <w:t>二进制不会自带CUDA或模型Python环境；python字段必须指向外部模型环境的真实解释器。key文件仅使用团队自行准备且可信的本地文件，不接受不可信来源的pickle文件。</w:t>
      </w:r>
    </w:p>
    <w:p>
      <w:r>
        <w:rPr>
          <w:b/>
          <w:sz w:val="26"/>
        </w:rPr>
        <w:t>九、故障排查与运行限制</w:t>
      </w:r>
    </w:p>
    <w:p>
      <w:r>
        <w:t>网页打不开：先检查终端是否持续运行，再检查/health、端口及转发地址。地址不可沿用已停止或重建的旧Codespaces链接。</w:t>
      </w:r>
    </w:p>
    <w:p>
      <w:r>
        <w:t>提示GLIBC版本缺失、Exec format error或权限问题：核对Linux架构与系统版本，执行chmod +x tusu；不兼容时使用Python源码方式。</w:t>
      </w:r>
    </w:p>
    <w:p>
      <w:r>
        <w:t>模型未配置或缺权重：只影响对应模型，不影响本地演示。处理失败不得按成功图展示；未检出不能据此断定非AI生成。</w:t>
      </w:r>
    </w:p>
    <w:p>
      <w:r>
        <w:t>本原型同时只执行一个图片任务；任务状态在内存中，重启后丢失，账户和来源记录保存在data中。无真实支付、账单、企业成员角色或生产SLA。建议本地评审演示，不将单进程原型直接开放为公网生产服务。</w:t>
      </w:r>
    </w:p>
    <w:p>
      <w:r>
        <w:rPr>
          <w:b/>
          <w:sz w:val="26"/>
        </w:rPr>
        <w:t>十、资料与数据管理</w:t>
      </w:r>
    </w:p>
    <w:p>
      <w:r>
        <w:t>网站内/assets/demo/index.html可观看已嵌入中文音轨的演示。上游许可见THIRD_PARTY_NOTICES.txt。分享前请勿将运行后新增的data、config.json、私人模型密钥或API密钥重新压入网盘公开包。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AIC 2026  |  算法创新赛 · AI+场景创新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